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CC311D0" w14:textId="4E5E0931" w:rsidR="004047CF" w:rsidRDefault="004047CF">
      <w:pPr>
        <w:rPr>
          <w:rStyle w:val="10"/>
          <w:rFonts w:eastAsiaTheme="minorHAnsi"/>
        </w:rPr>
      </w:pPr>
      <w:r w:rsidRPr="00B31648">
        <w:rPr>
          <w:rStyle w:val="10"/>
          <w:rFonts w:eastAsiaTheme="minorHAnsi"/>
        </w:rPr>
        <w:t>Преемственность и масштабируемость – принципы успеха в преподавании СЭД</w:t>
      </w:r>
      <w:bookmarkStart w:id="0" w:name="_GoBack"/>
      <w:bookmarkEnd w:id="0"/>
    </w:p>
    <w:p w14:paraId="08938DB9" w14:textId="77777777" w:rsidR="004047CF" w:rsidRDefault="004047CF">
      <w:pPr>
        <w:rPr>
          <w:rStyle w:val="10"/>
          <w:rFonts w:eastAsiaTheme="minorHAnsi"/>
        </w:rPr>
      </w:pPr>
    </w:p>
    <w:p w14:paraId="19ABCCCC" w14:textId="76113249" w:rsidR="009E7924" w:rsidRDefault="009E7924">
      <w:pPr>
        <w:rPr>
          <w:rStyle w:val="10"/>
          <w:rFonts w:eastAsiaTheme="minorHAnsi"/>
        </w:rPr>
      </w:pPr>
      <w:r>
        <w:rPr>
          <w:rStyle w:val="10"/>
          <w:rFonts w:eastAsiaTheme="minorHAnsi"/>
        </w:rPr>
        <w:t>О КНИТУ</w:t>
      </w:r>
    </w:p>
    <w:p w14:paraId="2F1A601B" w14:textId="2C4DF44D" w:rsidR="009E7924" w:rsidRDefault="00706197">
      <w:r w:rsidRPr="00706197">
        <w:t>Казанский национальный исследовательский технологический университет (КНИТУ) был основан в 1890</w:t>
      </w:r>
      <w:r>
        <w:t>-ом</w:t>
      </w:r>
      <w:r w:rsidRPr="00706197">
        <w:t xml:space="preserve"> году как Казанское промышленное училище — специализированное учебное заведение, нацеленное на подготовку кадров низшего и среднего уровня для фабрично-заводских производств. Особую роль в содержании образования в промышленном училище играли химия и механика — две крупные научно-образовательные области, остающиеся базовыми для университета и в наши дни</w:t>
      </w:r>
      <w:r>
        <w:t>.</w:t>
      </w:r>
    </w:p>
    <w:p w14:paraId="46E9F3BD" w14:textId="17382106" w:rsidR="00706197" w:rsidRDefault="00706197">
      <w:r w:rsidRPr="00706197">
        <w:t>История науки в КНИТУ неразрывно связана с историей всемирно известной Казанской химической школы, основанной в 1830-е гг. Карлом Клаусом и Н. Н. Зининым. Здесь работали химики и химики-технологи академики А. Е. Арбузов и Б. А. Арбузов, профессора Г. Х. Камай, А. Ф. Герасимов, А. Я. Богородский, П. А. Кирпичников, В. С. Абрамов, А. Д. Николаева, выдающиеся математики Х. М. Муштари и И. Д. Адо, многие другие блестящие ученые и организаторы науки.</w:t>
      </w:r>
    </w:p>
    <w:p w14:paraId="3EAE7788" w14:textId="03609A94" w:rsidR="00706197" w:rsidRDefault="00706197">
      <w:r>
        <w:t xml:space="preserve">Сегодня КНИТУ – ведущий университет отраслевого масштаба в области химической технологии, </w:t>
      </w:r>
      <w:r w:rsidRPr="00706197">
        <w:t>центр передового современного инженерного образования, фундаментальных и прикладных наук, работающи</w:t>
      </w:r>
      <w:r>
        <w:t>й</w:t>
      </w:r>
      <w:r w:rsidRPr="00706197">
        <w:t xml:space="preserve"> в тесной интеграции с представителями реального сектора экономики, способны</w:t>
      </w:r>
      <w:r>
        <w:t>й</w:t>
      </w:r>
      <w:r w:rsidRPr="00706197">
        <w:t xml:space="preserve"> к разработке решений полного технологического цикла, актуальных потребностям и задачам развития химической отрасли и оборонно-промышленного комплекса</w:t>
      </w:r>
    </w:p>
    <w:p w14:paraId="037EDA04" w14:textId="5E21D02F" w:rsidR="00706197" w:rsidRDefault="00706197">
      <w:r w:rsidRPr="00706197">
        <w:t>Университет участвует в реализации федеральных проектов «Приоритет-2030» (базовая и специальная часть гранта), «Передовые инженерные школы». В рамках реализации федеральной программы «Приоритет-2030» вуз реализует два стратегических проекта: «Обеспечение обороноспособности и безопасности российской экономики» и «Полимеры стратегического назначения</w:t>
      </w:r>
      <w:r>
        <w:t>»</w:t>
      </w:r>
      <w:r w:rsidRPr="00706197">
        <w:t>.</w:t>
      </w:r>
    </w:p>
    <w:p w14:paraId="0B69D6AD" w14:textId="491227EC" w:rsidR="00706197" w:rsidRPr="00706197" w:rsidRDefault="00706197">
      <w:pPr>
        <w:rPr>
          <w:rStyle w:val="10"/>
          <w:rFonts w:eastAsiaTheme="minorHAnsi"/>
        </w:rPr>
      </w:pPr>
      <w:r w:rsidRPr="00706197">
        <w:rPr>
          <w:rStyle w:val="10"/>
          <w:rFonts w:eastAsiaTheme="minorHAnsi"/>
        </w:rPr>
        <w:t>О кафедре «Информационная безопасность» (ИБ) КНИТУ</w:t>
      </w:r>
      <w:r w:rsidR="00827788">
        <w:rPr>
          <w:rStyle w:val="10"/>
          <w:rFonts w:eastAsiaTheme="minorHAnsi"/>
        </w:rPr>
        <w:t xml:space="preserve"> и проблеме методического обеспечения</w:t>
      </w:r>
    </w:p>
    <w:p w14:paraId="52F16BA7" w14:textId="163CD210" w:rsidR="00706197" w:rsidRDefault="00706197">
      <w:r>
        <w:t>Кафедра ИБ – одна из самых молодых в университете – была основана в 2014-ом году в ответ на многочисленные запросы работодателей</w:t>
      </w:r>
      <w:r w:rsidR="0067123A">
        <w:t xml:space="preserve"> по подготовке</w:t>
      </w:r>
      <w:r>
        <w:t xml:space="preserve"> специалистов в области защиты данных для промышленных предприятий.</w:t>
      </w:r>
    </w:p>
    <w:p w14:paraId="64ED9E72" w14:textId="7E08F372" w:rsidR="00827788" w:rsidRPr="00706197" w:rsidRDefault="00827788">
      <w:r>
        <w:t>С 2011-го здесь ведется подготовка бакалавров по направлению 10.03.01 «Информационная безопасность», с 2015-го – специалистов 10.05.05 «Безопасность информационных технологий в правоохранительной сфере». Выбор этой специальности был неслучайным, так как именно в Республике Татарстан была и остается большая потребность в профессионалах, способных противодействовать компьютерной преступности. При этом какого-либо методического опыта обучения по этому направлению подготовки у преподавателей кафедры не было – основная образовательная программа была скроена по принципу «лоскутного одеяла», где дисциплины выбирались из принципа «пригодится» и «скорее всего, пригодится».</w:t>
      </w:r>
    </w:p>
    <w:p w14:paraId="3F9A1031" w14:textId="704055D6" w:rsidR="00706197" w:rsidRPr="00706197" w:rsidRDefault="00706197">
      <w:pPr>
        <w:rPr>
          <w:rStyle w:val="10"/>
          <w:rFonts w:eastAsiaTheme="minorHAnsi"/>
        </w:rPr>
      </w:pPr>
      <w:r w:rsidRPr="00706197">
        <w:rPr>
          <w:rStyle w:val="10"/>
          <w:rFonts w:eastAsiaTheme="minorHAnsi"/>
        </w:rPr>
        <w:t>Информационная безопасность и система электронного документооборота</w:t>
      </w:r>
    </w:p>
    <w:p w14:paraId="4328B09B" w14:textId="14D247C1" w:rsidR="00D41EFD" w:rsidRDefault="00D41EFD">
      <w:r w:rsidRPr="00D41EFD">
        <w:t>В современном мире, где информация стала одним из самых ценных ресурсов, вопросы информационной безопасности приобретают особую значимость. Системы электронного документооборота (ЭДО) играют ключевую роль в оптимизации бизнес-процессов, повышении эффективности работы организаций и улучшении взаимодействия между различными участниками. Однако с ростом объемов обрабатываемой информации и увеличением числа киберугроз возникает необходимость серьезного подхода к обеспечению безопасности этих систем.</w:t>
      </w:r>
    </w:p>
    <w:p w14:paraId="79CDB6CC" w14:textId="77777777" w:rsidR="00A045D2" w:rsidRDefault="00D41EFD" w:rsidP="00D41EFD">
      <w:r>
        <w:t>К о</w:t>
      </w:r>
      <w:r w:rsidR="00A045D2">
        <w:t>сновным угрозам можно отнести:</w:t>
      </w:r>
    </w:p>
    <w:p w14:paraId="5FA2C082" w14:textId="52008A7D" w:rsidR="00D41EFD" w:rsidRDefault="00D41EFD" w:rsidP="00D41EFD">
      <w:r>
        <w:lastRenderedPageBreak/>
        <w:t>1. Несанкционированный доступ: Хакеры могут пытаться получить доступ к системам ЭДО для кражи конфиденциальной информации или внесения изменений в документы.</w:t>
      </w:r>
    </w:p>
    <w:p w14:paraId="01C02C73" w14:textId="77777777" w:rsidR="00D41EFD" w:rsidRDefault="00D41EFD" w:rsidP="00D41EFD"/>
    <w:p w14:paraId="4475D67F" w14:textId="77777777" w:rsidR="00D41EFD" w:rsidRDefault="00D41EFD" w:rsidP="00D41EFD">
      <w:r>
        <w:t xml:space="preserve">   </w:t>
      </w:r>
    </w:p>
    <w:p w14:paraId="1D67C333" w14:textId="42637A8E" w:rsidR="00D41EFD" w:rsidRDefault="00D41EFD" w:rsidP="00D41EFD">
      <w:r>
        <w:t>2. Вирусы и вредоносное ПО: Заражение систем вредоносным программным обеспечением может привести к по</w:t>
      </w:r>
      <w:r w:rsidR="00A045D2">
        <w:t>тере данных или их повреждению.</w:t>
      </w:r>
    </w:p>
    <w:p w14:paraId="294B58DC" w14:textId="0505A5D0" w:rsidR="00D41EFD" w:rsidRDefault="00D41EFD" w:rsidP="00D41EFD">
      <w:r>
        <w:t>3. Ошибки пользователей: Неправильные действия сотрудников, такие как случайное удаление или неправильное редактирование документов, мо</w:t>
      </w:r>
      <w:r w:rsidR="00A045D2">
        <w:t>гут вызвать серьезные проблемы.</w:t>
      </w:r>
    </w:p>
    <w:p w14:paraId="4A9CAF3C" w14:textId="77777777" w:rsidR="00D41EFD" w:rsidRDefault="00D41EFD" w:rsidP="00D41EFD">
      <w:r>
        <w:t>4. Физические угрозы: Уничтожение серверов или оборудования в результате стихийных бедствий или актов вандализма также может привести к утрате важной информации.</w:t>
      </w:r>
    </w:p>
    <w:p w14:paraId="0B15D78C" w14:textId="2878EAEA" w:rsidR="00D41EFD" w:rsidRDefault="00D41EFD" w:rsidP="00D41EFD">
      <w:r>
        <w:t xml:space="preserve">Для защиты систем электронного документооборота от вышеупомянутых угроз необходимо применять комплексный подход к информационной безопасности. К </w:t>
      </w:r>
      <w:r w:rsidR="00A045D2">
        <w:t>основным методам можно отнести:</w:t>
      </w:r>
    </w:p>
    <w:p w14:paraId="32839FFE" w14:textId="294240E4" w:rsidR="00D41EFD" w:rsidRDefault="00D41EFD" w:rsidP="00D41EFD">
      <w:r>
        <w:t>1. Аутентификация и авторизация: Использование многофакторной аутентификации и строгой системы прав доступа позволяет ограничить доступ к информации только дл</w:t>
      </w:r>
      <w:r w:rsidR="00A045D2">
        <w:t>я авторизованных пользователей.</w:t>
      </w:r>
    </w:p>
    <w:p w14:paraId="023DA0C1" w14:textId="058E1E95" w:rsidR="00D41EFD" w:rsidRDefault="00D41EFD" w:rsidP="00D41EFD">
      <w:r>
        <w:t>2. Шифрование данных: Шифрование информации как при передаче, так и при хранении помогает защитить данные о</w:t>
      </w:r>
      <w:r w:rsidR="00A045D2">
        <w:t>т несанкционированного доступа.</w:t>
      </w:r>
    </w:p>
    <w:p w14:paraId="481418E4" w14:textId="12135DD8" w:rsidR="00D41EFD" w:rsidRDefault="00D41EFD" w:rsidP="00D41EFD">
      <w:r>
        <w:t>3. Резервное копирование: Регулярное создание резервных копий данных позволяет восстановить информацию в сл</w:t>
      </w:r>
      <w:r w:rsidR="00A045D2">
        <w:t>учае ее утраты или повреждения.</w:t>
      </w:r>
    </w:p>
    <w:p w14:paraId="4D824493" w14:textId="381C11DF" w:rsidR="00D41EFD" w:rsidRDefault="00D41EFD" w:rsidP="00D41EFD">
      <w:r>
        <w:t>4. Обучение сотрудников: Проведение регулярных тренингов по вопросам информационной безопасности помогает повысить осведомленность сотрудников о возможных угроза</w:t>
      </w:r>
      <w:r w:rsidR="00A045D2">
        <w:t>х и способах их предотвращения.</w:t>
      </w:r>
    </w:p>
    <w:p w14:paraId="62176677" w14:textId="198D96D1" w:rsidR="00D41EFD" w:rsidRDefault="00D41EFD" w:rsidP="00D41EFD">
      <w:r>
        <w:t>5. Мониторинг и аудит: Постоянный мониторинг систем ЭДО и проведение аудитов безопасности помогают выявлять уязвимости и реагировать на инциденты в режиме реального времени.</w:t>
      </w:r>
    </w:p>
    <w:p w14:paraId="52E01048" w14:textId="5FC41301" w:rsidR="00D41EFD" w:rsidRDefault="00D41EFD">
      <w:r w:rsidRPr="00D41EFD">
        <w:t>Информационная безопасность является критически важным аспектом функционирования систем электронного документооборота. В условиях постоянного роста числа киберугроз организации должны принимать активные меры по защите своей информации. Комплексный подход к обеспечению безопасности, включающий технологии, процессы и обучение сотрудников, позволит минимизировать риски и обеспечить надежную работу ЭДО. В конечном итоге, успешная реализация систем электронного документооборота с учетом всех аспектов информационной безопасности станет залогом эффективного и безопасного управления информацией в современных организациях.</w:t>
      </w:r>
    </w:p>
    <w:p w14:paraId="3C665074" w14:textId="1B2A0FBE" w:rsidR="00827788" w:rsidRDefault="00827788">
      <w:pPr>
        <w:rPr>
          <w:rStyle w:val="10"/>
          <w:rFonts w:eastAsiaTheme="minorHAnsi"/>
        </w:rPr>
      </w:pPr>
      <w:r>
        <w:rPr>
          <w:rStyle w:val="10"/>
          <w:rFonts w:eastAsiaTheme="minorHAnsi"/>
        </w:rPr>
        <w:t>Методические решения</w:t>
      </w:r>
    </w:p>
    <w:p w14:paraId="20EB7632" w14:textId="77777777" w:rsidR="00B31648" w:rsidRPr="00B31648" w:rsidRDefault="00B31648" w:rsidP="00B31648">
      <w:r w:rsidRPr="00B31648">
        <w:t xml:space="preserve">На обоих читаемых курсах («Технологии защищенного документооборота» и «Защита персональных данных и организация защищенного электронного документооборота») студенты проходят курс лабораторных работ, представленных отдельным объемным модулем. Учебные материалы, справочная информация, пособия, тестовые и контрольные работы размещены на платформе </w:t>
      </w:r>
      <w:r w:rsidRPr="00B31648">
        <w:rPr>
          <w:lang w:val="en-US"/>
        </w:rPr>
        <w:t>moodle</w:t>
      </w:r>
      <w:r w:rsidRPr="00B31648">
        <w:t xml:space="preserve">. </w:t>
      </w:r>
    </w:p>
    <w:p w14:paraId="042221A0" w14:textId="77777777" w:rsidR="00B31648" w:rsidRPr="00B31648" w:rsidRDefault="00B31648" w:rsidP="00B31648">
      <w:r w:rsidRPr="00B31648">
        <w:t>Данный модуль представлен тремя разделами:</w:t>
      </w:r>
    </w:p>
    <w:p w14:paraId="2C70B937" w14:textId="77777777" w:rsidR="00B31648" w:rsidRPr="00B31648" w:rsidRDefault="00B31648" w:rsidP="00B31648">
      <w:pPr>
        <w:pStyle w:val="afe"/>
        <w:numPr>
          <w:ilvl w:val="0"/>
          <w:numId w:val="20"/>
        </w:numPr>
      </w:pPr>
      <w:r w:rsidRPr="00B31648">
        <w:t xml:space="preserve">Основы работы в СЭД </w:t>
      </w:r>
      <w:r w:rsidRPr="00B31648">
        <w:rPr>
          <w:lang w:val="en-US"/>
        </w:rPr>
        <w:t>Directum</w:t>
      </w:r>
      <w:r w:rsidRPr="00B31648">
        <w:t xml:space="preserve"> </w:t>
      </w:r>
      <w:r w:rsidRPr="00B31648">
        <w:rPr>
          <w:lang w:val="en-US"/>
        </w:rPr>
        <w:t>RX</w:t>
      </w:r>
      <w:r w:rsidRPr="00B31648">
        <w:t>.</w:t>
      </w:r>
    </w:p>
    <w:p w14:paraId="7B7E2E65" w14:textId="77777777" w:rsidR="00B31648" w:rsidRPr="00B31648" w:rsidRDefault="00B31648" w:rsidP="00B31648">
      <w:pPr>
        <w:pStyle w:val="afe"/>
        <w:numPr>
          <w:ilvl w:val="0"/>
          <w:numId w:val="20"/>
        </w:numPr>
      </w:pPr>
      <w:r w:rsidRPr="00B31648">
        <w:t>Договоры.</w:t>
      </w:r>
    </w:p>
    <w:p w14:paraId="32C6DA78" w14:textId="5EC2F699" w:rsidR="00B31648" w:rsidRPr="00B31648" w:rsidRDefault="00B31648" w:rsidP="00B31648">
      <w:pPr>
        <w:pStyle w:val="afe"/>
        <w:numPr>
          <w:ilvl w:val="0"/>
          <w:numId w:val="20"/>
        </w:numPr>
      </w:pPr>
      <w:r w:rsidRPr="00B31648">
        <w:t xml:space="preserve">Настройка СЭД  </w:t>
      </w:r>
      <w:r w:rsidRPr="00B31648">
        <w:rPr>
          <w:lang w:val="en-US"/>
        </w:rPr>
        <w:t>Directum</w:t>
      </w:r>
      <w:r w:rsidRPr="00B31648">
        <w:t xml:space="preserve"> </w:t>
      </w:r>
      <w:r w:rsidRPr="00B31648">
        <w:rPr>
          <w:lang w:val="en-US"/>
        </w:rPr>
        <w:t>RX</w:t>
      </w:r>
      <w:r w:rsidR="008E4AA1" w:rsidRPr="008E4AA1">
        <w:t xml:space="preserve"> (</w:t>
      </w:r>
      <w:r w:rsidR="008E4AA1">
        <w:t>рис. 1)</w:t>
      </w:r>
      <w:r w:rsidRPr="00B31648">
        <w:t>.</w:t>
      </w:r>
    </w:p>
    <w:p w14:paraId="11B7F827" w14:textId="493A8A82" w:rsidR="00B31648" w:rsidRDefault="00B31648" w:rsidP="00B31648">
      <w:pPr>
        <w:rPr>
          <w:rStyle w:val="10"/>
          <w:rFonts w:eastAsiaTheme="minorHAnsi" w:cs="Times New Roman"/>
          <w:color w:val="auto"/>
          <w:sz w:val="20"/>
          <w:szCs w:val="20"/>
          <w:lang w:eastAsia="en-US"/>
        </w:rPr>
      </w:pPr>
      <w:r w:rsidRPr="00B31648">
        <w:rPr>
          <w:rStyle w:val="10"/>
          <w:rFonts w:eastAsiaTheme="minorHAnsi" w:cs="Times New Roman"/>
          <w:color w:val="auto"/>
          <w:sz w:val="20"/>
          <w:szCs w:val="20"/>
          <w:lang w:eastAsia="en-US"/>
        </w:rPr>
        <w:t xml:space="preserve">Содержание данных разделов основывается на учебных пособиях, которые предоставляет компания, причем каждый год материал обновляется и меняется с учетом новых данных. Студенты изучают теоретический материал на платформе </w:t>
      </w:r>
      <w:r w:rsidRPr="00B31648">
        <w:rPr>
          <w:rStyle w:val="10"/>
          <w:rFonts w:eastAsiaTheme="minorHAnsi" w:cs="Times New Roman"/>
          <w:color w:val="auto"/>
          <w:sz w:val="20"/>
          <w:szCs w:val="20"/>
          <w:lang w:val="en-US" w:eastAsia="en-US"/>
        </w:rPr>
        <w:t>moodle</w:t>
      </w:r>
      <w:r w:rsidRPr="00B31648">
        <w:rPr>
          <w:rStyle w:val="10"/>
          <w:rFonts w:eastAsiaTheme="minorHAnsi" w:cs="Times New Roman"/>
          <w:color w:val="auto"/>
          <w:sz w:val="20"/>
          <w:szCs w:val="20"/>
          <w:lang w:eastAsia="en-US"/>
        </w:rPr>
        <w:t xml:space="preserve">, сайте </w:t>
      </w:r>
      <w:r w:rsidRPr="00B31648">
        <w:rPr>
          <w:rStyle w:val="10"/>
          <w:rFonts w:eastAsiaTheme="minorHAnsi" w:cs="Times New Roman"/>
          <w:color w:val="auto"/>
          <w:sz w:val="20"/>
          <w:szCs w:val="20"/>
          <w:lang w:val="en-US" w:eastAsia="en-US"/>
        </w:rPr>
        <w:t>Directum</w:t>
      </w:r>
      <w:r w:rsidRPr="00B31648">
        <w:rPr>
          <w:rStyle w:val="10"/>
          <w:rFonts w:eastAsiaTheme="minorHAnsi" w:cs="Times New Roman"/>
          <w:color w:val="auto"/>
          <w:sz w:val="20"/>
          <w:szCs w:val="20"/>
          <w:lang w:eastAsia="en-US"/>
        </w:rPr>
        <w:t xml:space="preserve"> </w:t>
      </w:r>
      <w:r w:rsidRPr="00B31648">
        <w:rPr>
          <w:rStyle w:val="10"/>
          <w:rFonts w:eastAsiaTheme="minorHAnsi" w:cs="Times New Roman"/>
          <w:color w:val="auto"/>
          <w:sz w:val="20"/>
          <w:szCs w:val="20"/>
          <w:lang w:val="en-US" w:eastAsia="en-US"/>
        </w:rPr>
        <w:t>RX</w:t>
      </w:r>
      <w:r w:rsidRPr="00B31648">
        <w:rPr>
          <w:rStyle w:val="10"/>
          <w:rFonts w:eastAsiaTheme="minorHAnsi" w:cs="Times New Roman"/>
          <w:color w:val="auto"/>
          <w:sz w:val="20"/>
          <w:szCs w:val="20"/>
          <w:lang w:eastAsia="en-US"/>
        </w:rPr>
        <w:t>, активно пользуются справкой, выполняют в компьютерных классах задания, демонстрируют преподавателю проделанную работу, отвечают на вопросы по теме и завершают тему контрольным тестированием.</w:t>
      </w:r>
    </w:p>
    <w:p w14:paraId="65E07258" w14:textId="56735EF1" w:rsidR="008E4AA1" w:rsidRDefault="008E4AA1" w:rsidP="00B31648">
      <w:pPr>
        <w:rPr>
          <w:rStyle w:val="10"/>
          <w:rFonts w:eastAsiaTheme="minorHAnsi" w:cs="Times New Roman"/>
          <w:color w:val="auto"/>
          <w:sz w:val="20"/>
          <w:szCs w:val="20"/>
          <w:lang w:eastAsia="en-US"/>
        </w:rPr>
      </w:pPr>
      <w:r w:rsidRPr="008E4AA1">
        <w:rPr>
          <w:rStyle w:val="10"/>
          <w:rFonts w:eastAsiaTheme="minorHAnsi" w:cs="Times New Roman"/>
          <w:noProof/>
          <w:color w:val="auto"/>
          <w:sz w:val="20"/>
          <w:szCs w:val="20"/>
        </w:rPr>
        <w:lastRenderedPageBreak/>
        <w:drawing>
          <wp:inline distT="0" distB="0" distL="0" distR="0" wp14:anchorId="011CD778" wp14:editId="4A82D0E3">
            <wp:extent cx="4567507" cy="3807589"/>
            <wp:effectExtent l="0" t="0" r="5080" b="254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6127" cy="381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0E3A8A" w14:textId="7A22D172" w:rsidR="008E4AA1" w:rsidRPr="008E4AA1" w:rsidRDefault="008E4AA1" w:rsidP="00B31648">
      <w:pPr>
        <w:rPr>
          <w:rStyle w:val="10"/>
          <w:rFonts w:eastAsiaTheme="minorHAnsi" w:cs="Times New Roman"/>
          <w:color w:val="auto"/>
          <w:sz w:val="20"/>
          <w:szCs w:val="20"/>
          <w:lang w:eastAsia="en-US"/>
        </w:rPr>
      </w:pPr>
      <w:r>
        <w:rPr>
          <w:rStyle w:val="10"/>
          <w:rFonts w:eastAsiaTheme="minorHAnsi" w:cs="Times New Roman"/>
          <w:color w:val="auto"/>
          <w:sz w:val="20"/>
          <w:szCs w:val="20"/>
          <w:lang w:eastAsia="en-US"/>
        </w:rPr>
        <w:t>Рис.</w:t>
      </w:r>
      <w:r w:rsidRPr="008E4AA1">
        <w:rPr>
          <w:rStyle w:val="10"/>
          <w:rFonts w:eastAsiaTheme="minorHAnsi" w:cs="Times New Roman"/>
          <w:color w:val="auto"/>
          <w:sz w:val="20"/>
          <w:szCs w:val="20"/>
          <w:lang w:eastAsia="en-US"/>
        </w:rPr>
        <w:t xml:space="preserve"> 1</w:t>
      </w:r>
      <w:r>
        <w:rPr>
          <w:rStyle w:val="10"/>
          <w:rFonts w:eastAsiaTheme="minorHAnsi" w:cs="Times New Roman"/>
          <w:color w:val="auto"/>
          <w:sz w:val="20"/>
          <w:szCs w:val="20"/>
          <w:lang w:eastAsia="en-US"/>
        </w:rPr>
        <w:t xml:space="preserve"> – Скриншот Раздела «Настройка </w:t>
      </w:r>
      <w:r>
        <w:rPr>
          <w:rStyle w:val="10"/>
          <w:rFonts w:eastAsiaTheme="minorHAnsi" w:cs="Times New Roman"/>
          <w:color w:val="auto"/>
          <w:sz w:val="20"/>
          <w:szCs w:val="20"/>
          <w:lang w:val="en-US" w:eastAsia="en-US"/>
        </w:rPr>
        <w:t>Directum</w:t>
      </w:r>
      <w:r w:rsidRPr="008E4AA1">
        <w:rPr>
          <w:rStyle w:val="10"/>
          <w:rFonts w:eastAsiaTheme="minorHAnsi" w:cs="Times New Roman"/>
          <w:color w:val="auto"/>
          <w:sz w:val="20"/>
          <w:szCs w:val="20"/>
          <w:lang w:eastAsia="en-US"/>
        </w:rPr>
        <w:t xml:space="preserve"> </w:t>
      </w:r>
      <w:r>
        <w:rPr>
          <w:rStyle w:val="10"/>
          <w:rFonts w:eastAsiaTheme="minorHAnsi" w:cs="Times New Roman"/>
          <w:color w:val="auto"/>
          <w:sz w:val="20"/>
          <w:szCs w:val="20"/>
          <w:lang w:val="en-US" w:eastAsia="en-US"/>
        </w:rPr>
        <w:t>RX</w:t>
      </w:r>
      <w:r>
        <w:rPr>
          <w:rStyle w:val="10"/>
          <w:rFonts w:eastAsiaTheme="minorHAnsi" w:cs="Times New Roman"/>
          <w:color w:val="auto"/>
          <w:sz w:val="20"/>
          <w:szCs w:val="20"/>
          <w:lang w:eastAsia="en-US"/>
        </w:rPr>
        <w:t xml:space="preserve">» с обучающей платформы </w:t>
      </w:r>
      <w:r>
        <w:rPr>
          <w:rStyle w:val="10"/>
          <w:rFonts w:eastAsiaTheme="minorHAnsi" w:cs="Times New Roman"/>
          <w:color w:val="auto"/>
          <w:sz w:val="20"/>
          <w:szCs w:val="20"/>
          <w:lang w:val="en-US" w:eastAsia="en-US"/>
        </w:rPr>
        <w:t>moodle</w:t>
      </w:r>
      <w:r w:rsidRPr="008E4AA1">
        <w:rPr>
          <w:rStyle w:val="10"/>
          <w:rFonts w:eastAsiaTheme="minorHAnsi" w:cs="Times New Roman"/>
          <w:color w:val="auto"/>
          <w:sz w:val="20"/>
          <w:szCs w:val="20"/>
          <w:lang w:eastAsia="en-US"/>
        </w:rPr>
        <w:t>.</w:t>
      </w:r>
    </w:p>
    <w:p w14:paraId="37AAA8DE" w14:textId="7B5A3862" w:rsidR="00B31648" w:rsidRDefault="00B31648">
      <w:pPr>
        <w:rPr>
          <w:rStyle w:val="10"/>
          <w:rFonts w:eastAsiaTheme="minorHAnsi" w:cs="Times New Roman"/>
          <w:color w:val="auto"/>
          <w:sz w:val="20"/>
          <w:szCs w:val="20"/>
          <w:lang w:eastAsia="en-US"/>
        </w:rPr>
      </w:pPr>
      <w:r w:rsidRPr="00B31648">
        <w:rPr>
          <w:rStyle w:val="10"/>
          <w:rFonts w:eastAsiaTheme="minorHAnsi" w:cs="Times New Roman"/>
          <w:color w:val="auto"/>
          <w:sz w:val="20"/>
          <w:szCs w:val="20"/>
          <w:lang w:eastAsia="en-US"/>
        </w:rPr>
        <w:t xml:space="preserve">В конце курса студенты проходят аттестацию на обучающем портале </w:t>
      </w:r>
      <w:r w:rsidRPr="00B31648">
        <w:rPr>
          <w:rStyle w:val="10"/>
          <w:rFonts w:eastAsiaTheme="minorHAnsi" w:cs="Times New Roman"/>
          <w:color w:val="auto"/>
          <w:sz w:val="20"/>
          <w:szCs w:val="20"/>
          <w:lang w:val="en-US" w:eastAsia="en-US"/>
        </w:rPr>
        <w:t>Directum</w:t>
      </w:r>
      <w:r w:rsidRPr="00B31648">
        <w:rPr>
          <w:rStyle w:val="10"/>
          <w:rFonts w:eastAsiaTheme="minorHAnsi" w:cs="Times New Roman"/>
          <w:color w:val="auto"/>
          <w:sz w:val="20"/>
          <w:szCs w:val="20"/>
          <w:lang w:eastAsia="en-US"/>
        </w:rPr>
        <w:t xml:space="preserve"> </w:t>
      </w:r>
      <w:r w:rsidRPr="00B31648">
        <w:rPr>
          <w:rStyle w:val="10"/>
          <w:rFonts w:eastAsiaTheme="minorHAnsi" w:cs="Times New Roman"/>
          <w:color w:val="auto"/>
          <w:sz w:val="20"/>
          <w:szCs w:val="20"/>
          <w:lang w:val="en-US" w:eastAsia="en-US"/>
        </w:rPr>
        <w:t>RX</w:t>
      </w:r>
      <w:r w:rsidRPr="00B31648">
        <w:rPr>
          <w:rStyle w:val="10"/>
          <w:rFonts w:eastAsiaTheme="minorHAnsi" w:cs="Times New Roman"/>
          <w:color w:val="auto"/>
          <w:sz w:val="20"/>
          <w:szCs w:val="20"/>
          <w:lang w:eastAsia="en-US"/>
        </w:rPr>
        <w:t xml:space="preserve"> (всегда успешно) и получают сертификаты</w:t>
      </w:r>
      <w:r w:rsidR="008E4AA1">
        <w:rPr>
          <w:rStyle w:val="10"/>
          <w:rFonts w:eastAsiaTheme="minorHAnsi" w:cs="Times New Roman"/>
          <w:color w:val="auto"/>
          <w:sz w:val="20"/>
          <w:szCs w:val="20"/>
          <w:lang w:eastAsia="en-US"/>
        </w:rPr>
        <w:t xml:space="preserve"> (см. приложение)</w:t>
      </w:r>
      <w:r w:rsidRPr="00B31648">
        <w:rPr>
          <w:rStyle w:val="10"/>
          <w:rFonts w:eastAsiaTheme="minorHAnsi" w:cs="Times New Roman"/>
          <w:color w:val="auto"/>
          <w:sz w:val="20"/>
          <w:szCs w:val="20"/>
          <w:lang w:eastAsia="en-US"/>
        </w:rPr>
        <w:t xml:space="preserve">. </w:t>
      </w:r>
    </w:p>
    <w:p w14:paraId="72C944E2" w14:textId="1B1A140D" w:rsidR="008E4AA1" w:rsidRPr="00B31648" w:rsidRDefault="008E4AA1">
      <w:pPr>
        <w:rPr>
          <w:rStyle w:val="10"/>
          <w:rFonts w:eastAsiaTheme="minorHAnsi" w:cs="Times New Roman"/>
          <w:color w:val="auto"/>
          <w:sz w:val="20"/>
          <w:szCs w:val="20"/>
          <w:lang w:eastAsia="en-US"/>
        </w:rPr>
      </w:pPr>
    </w:p>
    <w:p w14:paraId="0E31CA7F" w14:textId="0F2C953F" w:rsidR="00827788" w:rsidRPr="00827788" w:rsidRDefault="00827788">
      <w:pPr>
        <w:rPr>
          <w:rStyle w:val="10"/>
          <w:rFonts w:eastAsiaTheme="minorHAnsi"/>
        </w:rPr>
      </w:pPr>
      <w:r w:rsidRPr="00B31648">
        <w:rPr>
          <w:rStyle w:val="10"/>
          <w:rFonts w:eastAsiaTheme="minorHAnsi"/>
        </w:rPr>
        <w:t>Преемственность и масштабируемость – принципы успеха в преподавании СЭД</w:t>
      </w:r>
    </w:p>
    <w:p w14:paraId="574DD84E" w14:textId="77777777" w:rsidR="008866C1" w:rsidRDefault="00CA5362">
      <w:r w:rsidRPr="00CA5362">
        <w:t xml:space="preserve">Преемственность и масштабируемость являются ключевыми принципами успеха в преподавании систем электронного документооборота (СЭД). Преемственность обеспечивает последовательное и логичное развитие знаний студентов, позволяя им постепенно осваивать сложные концепции и технологии, что способствует более глубокому пониманию предмета. </w:t>
      </w:r>
    </w:p>
    <w:p w14:paraId="3D533AD4" w14:textId="77777777" w:rsidR="00545121" w:rsidRDefault="00CA5362">
      <w:r w:rsidRPr="00CA5362">
        <w:t>Масштабируемость, в свою очередь, позволяет адаптировать учебные материалы и методы преподавания к различным уровням подготовки студентов и изменяющимся требованиям рынка, что делает образовательный процесс более гибким и доступным. Совместное применение этих принципов создает эффективную образовательную среду, способствующую подготовке квалифицированных специалистов в области СЭД.</w:t>
      </w:r>
      <w:r w:rsidR="00545121">
        <w:t xml:space="preserve"> </w:t>
      </w:r>
    </w:p>
    <w:p w14:paraId="56FA4DA0" w14:textId="6F241A03" w:rsidR="00827788" w:rsidRPr="00545121" w:rsidRDefault="00545121">
      <w:r>
        <w:t xml:space="preserve">Конкретно наш опыт преподавания дисциплин, базирующихся на организации защищенного документооборота, показывает, что за последние несколько лет, рынок отечественных СЭД претерпел некоторые значительные изменения, связанные и с политическими реалиями, и с развитием информационных технологий. При этом компания </w:t>
      </w:r>
      <w:r>
        <w:rPr>
          <w:lang w:val="en-US"/>
        </w:rPr>
        <w:t>Directum</w:t>
      </w:r>
      <w:r w:rsidRPr="00545121">
        <w:t xml:space="preserve"> </w:t>
      </w:r>
      <w:r>
        <w:rPr>
          <w:lang w:val="en-US"/>
        </w:rPr>
        <w:t>RX</w:t>
      </w:r>
      <w:r w:rsidRPr="00545121">
        <w:t xml:space="preserve"> </w:t>
      </w:r>
      <w:r w:rsidR="00CA217B">
        <w:t xml:space="preserve">идет в ногу со временем, модифицирует свои продукты, дополняет их современными элементами. Благодаря данному факту, а также тому, как легко и плодотворно получается сотрудничать с компанией, наш вуз уже на протяжении 8 лет выбирает продукты </w:t>
      </w:r>
      <w:r w:rsidR="00B31648">
        <w:rPr>
          <w:lang w:val="en-US"/>
        </w:rPr>
        <w:t>Directum</w:t>
      </w:r>
      <w:r w:rsidR="00B31648" w:rsidRPr="00545121">
        <w:t xml:space="preserve"> </w:t>
      </w:r>
      <w:r w:rsidR="00B31648">
        <w:rPr>
          <w:lang w:val="en-US"/>
        </w:rPr>
        <w:t>RX</w:t>
      </w:r>
      <w:r w:rsidR="00B31648" w:rsidRPr="00545121">
        <w:t xml:space="preserve"> </w:t>
      </w:r>
      <w:r w:rsidR="00CA217B">
        <w:t xml:space="preserve">в качестве инструментов для обучения своих студентов. </w:t>
      </w:r>
    </w:p>
    <w:p w14:paraId="3549DDCE" w14:textId="70231D8E" w:rsidR="00827788" w:rsidRPr="00827788" w:rsidRDefault="00827788">
      <w:pPr>
        <w:rPr>
          <w:rStyle w:val="10"/>
          <w:rFonts w:eastAsiaTheme="minorHAnsi"/>
        </w:rPr>
      </w:pPr>
      <w:r w:rsidRPr="00827788">
        <w:rPr>
          <w:rStyle w:val="10"/>
          <w:rFonts w:eastAsiaTheme="minorHAnsi"/>
        </w:rPr>
        <w:t>Результаты</w:t>
      </w:r>
    </w:p>
    <w:p w14:paraId="2C3C3B3B" w14:textId="36855110" w:rsidR="009F7BD4" w:rsidRDefault="009F7BD4" w:rsidP="009F7BD4">
      <w:r w:rsidRPr="009F7BD4">
        <w:t>Когда в 2018-ом году вести дисциплину</w:t>
      </w:r>
      <w:r>
        <w:t xml:space="preserve"> </w:t>
      </w:r>
      <w:r w:rsidRPr="00AA65D2">
        <w:t>«Технологии защищенного документооборота»</w:t>
      </w:r>
      <w:r w:rsidRPr="009F7BD4">
        <w:t xml:space="preserve"> было поручено молодому старшему преподавателю Сафиуллиной Л.Х.</w:t>
      </w:r>
      <w:r>
        <w:t xml:space="preserve">, на кафедре «Информационная безопасность» по направлению 10.05.05 «Безопасность информационных технологий в правоохранительной сфере» обучалось всего 3 студента, они и стали первопроходцами в обучении основам работы в </w:t>
      </w:r>
      <w:r>
        <w:rPr>
          <w:lang w:val="en-US"/>
        </w:rPr>
        <w:t>Directum</w:t>
      </w:r>
      <w:r w:rsidRPr="009F7BD4">
        <w:t xml:space="preserve"> </w:t>
      </w:r>
      <w:r>
        <w:rPr>
          <w:lang w:val="en-US"/>
        </w:rPr>
        <w:t>RX</w:t>
      </w:r>
      <w:r w:rsidRPr="009F7BD4">
        <w:t>.</w:t>
      </w:r>
      <w:r>
        <w:t xml:space="preserve"> </w:t>
      </w:r>
      <w:r w:rsidR="00402E75">
        <w:t xml:space="preserve">В </w:t>
      </w:r>
      <w:r w:rsidR="00402E75">
        <w:lastRenderedPageBreak/>
        <w:t xml:space="preserve">последующие </w:t>
      </w:r>
      <w:r>
        <w:t>год</w:t>
      </w:r>
      <w:r w:rsidR="00402E75">
        <w:t xml:space="preserve">ы набор абитуриентов по этому направлению был увеличен, и обучение по продуктам компании </w:t>
      </w:r>
      <w:r w:rsidR="00402E75">
        <w:rPr>
          <w:lang w:val="en-US"/>
        </w:rPr>
        <w:t>Directum</w:t>
      </w:r>
      <w:r>
        <w:t xml:space="preserve"> </w:t>
      </w:r>
      <w:r w:rsidR="00402E75">
        <w:t>каждый год проходило в среднем около 10 студентов.</w:t>
      </w:r>
    </w:p>
    <w:p w14:paraId="3383A742" w14:textId="7FFBC3EF" w:rsidR="00402E75" w:rsidRDefault="00402E75" w:rsidP="009F7BD4">
      <w:r>
        <w:t>В 2023</w:t>
      </w:r>
      <w:r w:rsidR="001C29A4">
        <w:t>-</w:t>
      </w:r>
      <w:r>
        <w:t xml:space="preserve">ем году уже под руководством доцента Сабировой Д.И. </w:t>
      </w:r>
      <w:r w:rsidR="003D22EF">
        <w:t xml:space="preserve">обучение и успешную аттестацию </w:t>
      </w:r>
      <w:r w:rsidR="003D22EF">
        <w:rPr>
          <w:lang w:val="en-US"/>
        </w:rPr>
        <w:t>c</w:t>
      </w:r>
      <w:r w:rsidR="003D22EF" w:rsidRPr="003D22EF">
        <w:t xml:space="preserve"> </w:t>
      </w:r>
      <w:r w:rsidR="003D22EF">
        <w:t xml:space="preserve">присвоением статуса «Сертифицированный пользователь </w:t>
      </w:r>
      <w:r w:rsidR="003D22EF">
        <w:rPr>
          <w:lang w:val="en-US"/>
        </w:rPr>
        <w:t>Directum</w:t>
      </w:r>
      <w:r w:rsidR="003D22EF" w:rsidRPr="003D22EF">
        <w:t xml:space="preserve"> </w:t>
      </w:r>
      <w:r w:rsidR="003D22EF">
        <w:rPr>
          <w:lang w:val="en-US"/>
        </w:rPr>
        <w:t>RX</w:t>
      </w:r>
      <w:r w:rsidR="003D22EF">
        <w:t>» прошло уже 15 студентов (скан-копии сертификатов – в приложении).</w:t>
      </w:r>
    </w:p>
    <w:p w14:paraId="18E5210B" w14:textId="6B3525B3" w:rsidR="003D22EF" w:rsidRPr="003D22EF" w:rsidRDefault="003D22EF" w:rsidP="009F7BD4">
      <w:r>
        <w:t>А в 2024-</w:t>
      </w:r>
      <w:r w:rsidR="001C29A4">
        <w:t>20</w:t>
      </w:r>
      <w:r>
        <w:t>25</w:t>
      </w:r>
      <w:r w:rsidR="001C29A4">
        <w:t>-</w:t>
      </w:r>
      <w:r>
        <w:t>ом учебном году на стенде уже работают 65 студентов. Такое резкое увеличение числа обучающихся связано с тем, что доцентом Сабировой Д.И., начавшей вести курс «Защита персональных данных и организация защищенного электронного документооборота» (ЗПДиОЗЭДО), было принято решение развернуть учебный стенд в том числе и для этой дисциплины</w:t>
      </w:r>
      <w:r w:rsidR="008961A8">
        <w:t>, в частности для модуля по практическим основам организации защищенного электронного документооборота. Благодаря помощи м</w:t>
      </w:r>
      <w:r w:rsidR="008961A8" w:rsidRPr="003234D6">
        <w:t>енеджер</w:t>
      </w:r>
      <w:r w:rsidR="008961A8">
        <w:t>а</w:t>
      </w:r>
      <w:r w:rsidR="008961A8" w:rsidRPr="003234D6">
        <w:t xml:space="preserve"> по работе с ЦО компании </w:t>
      </w:r>
      <w:r w:rsidR="008961A8" w:rsidRPr="003234D6">
        <w:rPr>
          <w:lang w:val="en-US"/>
        </w:rPr>
        <w:t>Directum</w:t>
      </w:r>
      <w:r w:rsidR="008961A8" w:rsidRPr="003234D6">
        <w:t xml:space="preserve"> Альбин</w:t>
      </w:r>
      <w:r w:rsidR="008961A8">
        <w:t>ы</w:t>
      </w:r>
      <w:r w:rsidR="008961A8" w:rsidRPr="003234D6">
        <w:t xml:space="preserve"> Гиззатуллин</w:t>
      </w:r>
      <w:r w:rsidR="008961A8">
        <w:t>ой, с этой задачей удалось справиться очень оперативно, и нам было предоставлено дополнительно 55 комплектов пользователей в кратчайшие сроки.</w:t>
      </w:r>
    </w:p>
    <w:p w14:paraId="0155F121" w14:textId="0F7C406A" w:rsidR="00827788" w:rsidRDefault="00827788">
      <w:r w:rsidRPr="00C132FF">
        <w:rPr>
          <w:rStyle w:val="10"/>
          <w:rFonts w:eastAsiaTheme="minorHAnsi"/>
        </w:rPr>
        <w:t>Планы на будущее</w:t>
      </w:r>
    </w:p>
    <w:p w14:paraId="15563EB3" w14:textId="6DC588A3" w:rsidR="00C34104" w:rsidRDefault="006E0681">
      <w:r>
        <w:t xml:space="preserve">КНИТУ в лице преподавателей кафедры «Информационной безопасности» в будущем планирует не останавливаться на достигнутых результатах, продолжать плодотворное сотрудничество с компанией </w:t>
      </w:r>
      <w:r w:rsidR="00545121">
        <w:rPr>
          <w:lang w:val="en-US"/>
        </w:rPr>
        <w:t>Di</w:t>
      </w:r>
      <w:r>
        <w:rPr>
          <w:lang w:val="en-US"/>
        </w:rPr>
        <w:t>rectum</w:t>
      </w:r>
      <w:r w:rsidRPr="006E0681">
        <w:t xml:space="preserve"> </w:t>
      </w:r>
      <w:r>
        <w:rPr>
          <w:lang w:val="en-US"/>
        </w:rPr>
        <w:t>RX</w:t>
      </w:r>
      <w:r>
        <w:t xml:space="preserve"> и расширять направления использования продуктов. </w:t>
      </w:r>
    </w:p>
    <w:p w14:paraId="453066BA" w14:textId="18B0F67F" w:rsidR="00A33812" w:rsidRPr="00A33812" w:rsidRDefault="006E0681" w:rsidP="00C34104">
      <w:r>
        <w:t xml:space="preserve">В частности, в планах </w:t>
      </w:r>
      <w:r w:rsidR="00C34104">
        <w:t xml:space="preserve">расширить </w:t>
      </w:r>
      <w:r>
        <w:t xml:space="preserve">модуль по </w:t>
      </w:r>
      <w:r w:rsidR="00C34104">
        <w:t>н</w:t>
      </w:r>
      <w:r>
        <w:t xml:space="preserve">астройке </w:t>
      </w:r>
      <w:r>
        <w:rPr>
          <w:lang w:val="en-US"/>
        </w:rPr>
        <w:t>Directum</w:t>
      </w:r>
      <w:r w:rsidRPr="006E0681">
        <w:t xml:space="preserve"> </w:t>
      </w:r>
      <w:r>
        <w:rPr>
          <w:lang w:val="en-US"/>
        </w:rPr>
        <w:t>RX</w:t>
      </w:r>
      <w:r>
        <w:t>, поскольку именно он дает более углубленные знания и навыки для будущих специалистов в области ИБ.</w:t>
      </w:r>
      <w:r w:rsidR="00C34104">
        <w:t xml:space="preserve"> В настоящее время студенты осваивают принципы настройки и навыки администрирования СЭД на учебном материале, предоставленном компанией, а именно по учебному пособию «Интеллектуальная система управления цифровыми процессами и документами. Версия 4.11. Курс 822.</w:t>
      </w:r>
      <w:r w:rsidR="00A33812">
        <w:t xml:space="preserve"> «Настройка системы Directum RX».</w:t>
      </w:r>
      <w:r w:rsidR="00A33812" w:rsidRPr="00A33812">
        <w:t xml:space="preserve"> </w:t>
      </w:r>
      <w:r w:rsidR="00A33812">
        <w:t>Для того, чтобы каждому студенту выдать права администратора приходится самостоятельно перенастраивать стенд, перераспределять роли у учетных записей, регулярно решать возникающие сложности,</w:t>
      </w:r>
      <w:r w:rsidR="00B32F8C">
        <w:t xml:space="preserve"> связанные с таким форматом работы,</w:t>
      </w:r>
      <w:r w:rsidR="00A33812">
        <w:t xml:space="preserve"> </w:t>
      </w:r>
      <w:r w:rsidR="00B32F8C">
        <w:t>импровизировать.</w:t>
      </w:r>
    </w:p>
    <w:p w14:paraId="6532CA6F" w14:textId="781EC3D0" w:rsidR="006E0681" w:rsidRPr="007F6A89" w:rsidRDefault="006E0681" w:rsidP="006E0681">
      <w:r>
        <w:t>Среди прочего перед нами стоит немаловажная задача – написать учебное пособие по курсу «Защита персональных данных и организация защищенного</w:t>
      </w:r>
      <w:r w:rsidR="007F6A89">
        <w:t xml:space="preserve"> электронного документооборота», в котором будет раздел, посвященный практикуму по организации работы СЭД, основанный на учебном стенде </w:t>
      </w:r>
      <w:r w:rsidR="007F6A89">
        <w:rPr>
          <w:lang w:val="en-US"/>
        </w:rPr>
        <w:t>D</w:t>
      </w:r>
      <w:r w:rsidR="00A33812">
        <w:rPr>
          <w:lang w:val="en-US"/>
        </w:rPr>
        <w:t>i</w:t>
      </w:r>
      <w:r w:rsidR="007F6A89">
        <w:rPr>
          <w:lang w:val="en-US"/>
        </w:rPr>
        <w:t>rectum</w:t>
      </w:r>
      <w:r w:rsidR="007F6A89" w:rsidRPr="007F6A89">
        <w:t xml:space="preserve"> </w:t>
      </w:r>
      <w:r w:rsidR="007F6A89">
        <w:rPr>
          <w:lang w:val="en-US"/>
        </w:rPr>
        <w:t>RX</w:t>
      </w:r>
      <w:r w:rsidR="007F6A89" w:rsidRPr="007F6A89">
        <w:t>.</w:t>
      </w:r>
      <w:r w:rsidR="00B32F8C">
        <w:t xml:space="preserve"> В данном пособии необходимо будет представить методические наработки, которые </w:t>
      </w:r>
      <w:r w:rsidR="00E357E0">
        <w:t xml:space="preserve">уже </w:t>
      </w:r>
      <w:r w:rsidR="00B32F8C">
        <w:t xml:space="preserve">имеются </w:t>
      </w:r>
      <w:r w:rsidR="00E357E0">
        <w:t>в арсенале нашей команды, а также пересмотреть лабораторные работы, адаптировать их для более комфортной работы на стенде, разработать новые ситуации, чтобы разнообразить и углубить материал.</w:t>
      </w:r>
    </w:p>
    <w:p w14:paraId="433C1DCF" w14:textId="122482A2" w:rsidR="0067123A" w:rsidRPr="00AA65D2" w:rsidRDefault="00827788" w:rsidP="00AA65D2">
      <w:pPr>
        <w:rPr>
          <w:rStyle w:val="10"/>
          <w:rFonts w:eastAsiaTheme="minorHAnsi"/>
        </w:rPr>
      </w:pPr>
      <w:r w:rsidRPr="00C132FF">
        <w:rPr>
          <w:rStyle w:val="10"/>
          <w:rFonts w:eastAsiaTheme="minorHAnsi"/>
        </w:rPr>
        <w:t>Команда</w:t>
      </w:r>
    </w:p>
    <w:p w14:paraId="137E364F" w14:textId="77777777" w:rsidR="00C00E54" w:rsidRDefault="0067123A">
      <w:r w:rsidRPr="00AA65D2">
        <w:t>Курс «Технологии защищенного документооборота», читаемый для специалистов направления 10.05.05</w:t>
      </w:r>
      <w:r w:rsidR="00AA65D2" w:rsidRPr="00AA65D2">
        <w:t xml:space="preserve">, изначально был разработан </w:t>
      </w:r>
      <w:r w:rsidR="00AA65D2">
        <w:t xml:space="preserve">доцентом, кандидатом технических наук </w:t>
      </w:r>
      <w:r w:rsidR="00AA65D2" w:rsidRPr="00AA65D2">
        <w:t>Сафиуллиной Линой Хатыповной, на данный момент являющейся и.о. заведующего кафедрой ИБ</w:t>
      </w:r>
      <w:r w:rsidR="00AA65D2">
        <w:t xml:space="preserve">. Именно благодаря ее инициативе было заключено соглашение о сотрудничестве с компанией </w:t>
      </w:r>
      <w:r w:rsidR="00AA65D2">
        <w:rPr>
          <w:lang w:val="en-US"/>
        </w:rPr>
        <w:t>Directum</w:t>
      </w:r>
      <w:r w:rsidR="00AA65D2">
        <w:t xml:space="preserve"> и принято решение о внедрении программного продукта в учебный процесс. В рамках этого курса Лина Хатыповна объясняла студентам основы,</w:t>
      </w:r>
      <w:r w:rsidR="00C00E54">
        <w:t xml:space="preserve"> </w:t>
      </w:r>
      <w:r w:rsidR="00AA65D2">
        <w:t xml:space="preserve">принципы организации электронного документооборота, демонстрировала как устроены современные СЭД и </w:t>
      </w:r>
      <w:r w:rsidR="00AA65D2">
        <w:rPr>
          <w:lang w:val="en-US"/>
        </w:rPr>
        <w:t>ECM</w:t>
      </w:r>
      <w:r w:rsidR="00AA65D2" w:rsidRPr="00AA65D2">
        <w:t>-</w:t>
      </w:r>
      <w:r w:rsidR="00AA65D2">
        <w:t>системы. На данный момент она продолжает выступать</w:t>
      </w:r>
      <w:r w:rsidR="00C00E54">
        <w:t xml:space="preserve"> в роли чуткого наставника</w:t>
      </w:r>
      <w:r w:rsidR="00AA65D2">
        <w:t xml:space="preserve"> данного проекта</w:t>
      </w:r>
      <w:r w:rsidR="00C00E54">
        <w:t>, направляет и дает ориентиры в обучении, помогает с решением сложных ситуаций или технических аспектов.</w:t>
      </w:r>
    </w:p>
    <w:p w14:paraId="6BEADD73" w14:textId="6035485A" w:rsidR="003234D6" w:rsidRDefault="00C00E54">
      <w:r>
        <w:t xml:space="preserve">С 2023-го года с продуктами компании </w:t>
      </w:r>
      <w:r>
        <w:rPr>
          <w:lang w:val="en-US"/>
        </w:rPr>
        <w:t>Directum</w:t>
      </w:r>
      <w:r w:rsidRPr="00C00E54">
        <w:t xml:space="preserve"> </w:t>
      </w:r>
      <w:r>
        <w:rPr>
          <w:lang w:val="en-US"/>
        </w:rPr>
        <w:t>RX</w:t>
      </w:r>
      <w:r w:rsidRPr="00C00E54">
        <w:t xml:space="preserve"> </w:t>
      </w:r>
      <w:r>
        <w:t xml:space="preserve">работает доцент кафедры ИБ Сабирова Динара Илнуровна, которая является преподавателем курсов </w:t>
      </w:r>
      <w:r w:rsidRPr="00AA65D2">
        <w:t>«Технологии защищенного документооборота»</w:t>
      </w:r>
      <w:r>
        <w:t xml:space="preserve"> и «Защита персональных данных и организация защищенного электронного документооборота». При этом в рамках дисциплины «ЗПДиОЗЭДО» учебный стенд СЭД </w:t>
      </w:r>
      <w:r>
        <w:rPr>
          <w:lang w:val="en-US"/>
        </w:rPr>
        <w:t>Directum</w:t>
      </w:r>
      <w:r w:rsidRPr="00C00E54">
        <w:t xml:space="preserve"> </w:t>
      </w:r>
      <w:r>
        <w:rPr>
          <w:lang w:val="en-US"/>
        </w:rPr>
        <w:t>RX</w:t>
      </w:r>
      <w:r>
        <w:t xml:space="preserve"> начал использоваться впервые.</w:t>
      </w:r>
      <w:r w:rsidR="00FF01F6">
        <w:t xml:space="preserve"> Динара Илнуровна на </w:t>
      </w:r>
      <w:r w:rsidR="003234D6">
        <w:t>данный момент является основным координатором по использованию продукта и обучению студентов основам работы в СЭД.</w:t>
      </w:r>
    </w:p>
    <w:p w14:paraId="772588DF" w14:textId="410D6E4C" w:rsidR="003234D6" w:rsidRPr="003234D6" w:rsidRDefault="003234D6" w:rsidP="003234D6">
      <w:r>
        <w:t>В нашу команду также входит м</w:t>
      </w:r>
      <w:r w:rsidRPr="003234D6">
        <w:t xml:space="preserve">енеджер по работе с ЦО компании </w:t>
      </w:r>
      <w:r w:rsidRPr="003234D6">
        <w:rPr>
          <w:lang w:val="en-US"/>
        </w:rPr>
        <w:t>Directum</w:t>
      </w:r>
      <w:r w:rsidRPr="003234D6">
        <w:t xml:space="preserve"> Альбина Гиззатуллина</w:t>
      </w:r>
      <w:r>
        <w:t>, которая всегда очень оперативно и грамотно оказывает помощь в любых вопросах и возникающих сложностях.</w:t>
      </w:r>
    </w:p>
    <w:p w14:paraId="1E64A7B0" w14:textId="19FF8193" w:rsidR="00C132FF" w:rsidRDefault="00C132FF">
      <w:pPr>
        <w:rPr>
          <w:rStyle w:val="10"/>
          <w:rFonts w:eastAsiaTheme="minorHAnsi"/>
        </w:rPr>
      </w:pPr>
      <w:r w:rsidRPr="00C132FF">
        <w:rPr>
          <w:rStyle w:val="10"/>
          <w:rFonts w:eastAsiaTheme="minorHAnsi"/>
        </w:rPr>
        <w:t>Об авторах заявки</w:t>
      </w:r>
    </w:p>
    <w:p w14:paraId="0803AC93" w14:textId="3C028CEF" w:rsidR="003234D6" w:rsidRDefault="003234D6">
      <w:r w:rsidRPr="00C50CA6">
        <w:lastRenderedPageBreak/>
        <w:t>Сафиуллина Лина Хатыповна – кандидат технических наук, доцент, и.о. заведующего кафедрой «Информационная безопасность» КНИТУ.</w:t>
      </w:r>
      <w:r w:rsidR="004A07E4" w:rsidRPr="00C50CA6">
        <w:t xml:space="preserve"> На кафедре ИБ – с 2015-го года. Занимается вопросами обеспечения безопасности электронного документооборота – с 2018-го.</w:t>
      </w:r>
    </w:p>
    <w:p w14:paraId="20A765E4" w14:textId="73E9A8C5" w:rsidR="00C132FF" w:rsidRDefault="003234D6">
      <w:r>
        <w:t>Сабирова Динара Илнуровна – кандидат химических наук, доцент кафедры «Информационная безопасность».</w:t>
      </w:r>
      <w:r w:rsidR="00C50CA6">
        <w:t xml:space="preserve"> Преподаватель лекционных, практических и лабораторных работ по дисциплинам «Защита персональных данных и организация защищенного электронного документооборота» и </w:t>
      </w:r>
      <w:r w:rsidR="00C50CA6" w:rsidRPr="00B31648">
        <w:t>«Технологии защищенного документооборота»</w:t>
      </w:r>
      <w:r w:rsidR="00C50CA6">
        <w:t xml:space="preserve">. </w:t>
      </w:r>
    </w:p>
    <w:p w14:paraId="2CD2BC07" w14:textId="77777777" w:rsidR="00A10C75" w:rsidRDefault="00A10C75">
      <w:pPr>
        <w:rPr>
          <w:rStyle w:val="10"/>
          <w:rFonts w:eastAsiaTheme="minorHAnsi"/>
        </w:rPr>
      </w:pPr>
      <w:r>
        <w:rPr>
          <w:rStyle w:val="10"/>
          <w:rFonts w:eastAsiaTheme="minorHAnsi"/>
        </w:rPr>
        <w:br w:type="page"/>
      </w:r>
    </w:p>
    <w:p w14:paraId="51F5DDDE" w14:textId="7D39C8A1" w:rsidR="00C132FF" w:rsidRPr="00A10C75" w:rsidRDefault="00A10C75">
      <w:r>
        <w:rPr>
          <w:rStyle w:val="10"/>
          <w:rFonts w:eastAsiaTheme="minorHAnsi"/>
        </w:rPr>
        <w:lastRenderedPageBreak/>
        <w:t>Приложение</w:t>
      </w:r>
    </w:p>
    <w:p w14:paraId="3018EFAA" w14:textId="4540B0CC" w:rsidR="001C29A4" w:rsidRDefault="00C50CA6">
      <w:r w:rsidRPr="00A10C75">
        <w:t>Сертификаты студентов:</w:t>
      </w:r>
      <w:r>
        <w:t xml:space="preserve"> </w:t>
      </w:r>
    </w:p>
    <w:p w14:paraId="5DCB69BC" w14:textId="4492B35A" w:rsidR="00C50CA6" w:rsidRDefault="00C50CA6">
      <w:r w:rsidRPr="00C50CA6">
        <w:rPr>
          <w:noProof/>
          <w:lang w:eastAsia="ru-RU"/>
        </w:rPr>
        <w:drawing>
          <wp:inline distT="0" distB="0" distL="0" distR="0" wp14:anchorId="7FA8355A" wp14:editId="431CE554">
            <wp:extent cx="3523061" cy="2479853"/>
            <wp:effectExtent l="0" t="0" r="127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31039" cy="2485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F76314" w14:textId="1B17AE65" w:rsidR="00C50CA6" w:rsidRDefault="00C50CA6"/>
    <w:p w14:paraId="768A2617" w14:textId="5CDCAB90" w:rsidR="00C50CA6" w:rsidRDefault="00C50CA6">
      <w:r w:rsidRPr="00C50CA6">
        <w:rPr>
          <w:noProof/>
          <w:lang w:eastAsia="ru-RU"/>
        </w:rPr>
        <w:drawing>
          <wp:inline distT="0" distB="0" distL="0" distR="0" wp14:anchorId="1F7836D0" wp14:editId="5CA5098D">
            <wp:extent cx="3532909" cy="2487168"/>
            <wp:effectExtent l="0" t="0" r="0" b="889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542908" cy="24942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AE95D9" w14:textId="0E38E835" w:rsidR="00C50CA6" w:rsidRDefault="00C50CA6">
      <w:r w:rsidRPr="00C50CA6">
        <w:rPr>
          <w:noProof/>
          <w:lang w:eastAsia="ru-RU"/>
        </w:rPr>
        <w:drawing>
          <wp:inline distT="0" distB="0" distL="0" distR="0" wp14:anchorId="35452A28" wp14:editId="3F804680">
            <wp:extent cx="3585597" cy="253837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591971" cy="2542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30EE87" w14:textId="7A0A07F2" w:rsidR="00C50CA6" w:rsidRPr="009E7924" w:rsidRDefault="00C50CA6">
      <w:r w:rsidRPr="00C50CA6">
        <w:rPr>
          <w:noProof/>
          <w:lang w:eastAsia="ru-RU"/>
        </w:rPr>
        <w:lastRenderedPageBreak/>
        <w:drawing>
          <wp:inline distT="0" distB="0" distL="0" distR="0" wp14:anchorId="6DDFDAE1" wp14:editId="55CED45A">
            <wp:extent cx="3577184" cy="2525072"/>
            <wp:effectExtent l="0" t="0" r="4445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623124" cy="25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15EA1F" w14:textId="77777777" w:rsidR="008E4AA1" w:rsidRDefault="00C50CA6">
      <w:pPr>
        <w:rPr>
          <w:rStyle w:val="40"/>
          <w:rFonts w:eastAsiaTheme="minorHAnsi"/>
        </w:rPr>
      </w:pPr>
      <w:r w:rsidRPr="00C50CA6">
        <w:rPr>
          <w:rStyle w:val="40"/>
          <w:rFonts w:eastAsiaTheme="minorHAnsi"/>
          <w:noProof/>
        </w:rPr>
        <w:drawing>
          <wp:inline distT="0" distB="0" distL="0" distR="0" wp14:anchorId="4034CEA2" wp14:editId="7F53AFA5">
            <wp:extent cx="3576955" cy="2535564"/>
            <wp:effectExtent l="0" t="0" r="444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595576" cy="2548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3366DE" w14:textId="2C52F014" w:rsidR="00FA286B" w:rsidRPr="008E4AA1" w:rsidRDefault="00FA286B">
      <w:pPr>
        <w:rPr>
          <w:i/>
          <w:color w:val="1F497D"/>
          <w:sz w:val="22"/>
          <w:lang w:eastAsia="ru-RU"/>
        </w:rPr>
      </w:pPr>
    </w:p>
    <w:sectPr w:rsidR="00FA286B" w:rsidRPr="008E4AA1">
      <w:headerReference w:type="default" r:id="rId15"/>
      <w:footerReference w:type="default" r:id="rId16"/>
      <w:pgSz w:w="11906" w:h="16838"/>
      <w:pgMar w:top="851" w:right="851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1372FCC" w14:textId="77777777" w:rsidR="000C22C4" w:rsidRDefault="000C22C4">
      <w:r>
        <w:separator/>
      </w:r>
    </w:p>
  </w:endnote>
  <w:endnote w:type="continuationSeparator" w:id="0">
    <w:p w14:paraId="0260D99B" w14:textId="77777777" w:rsidR="000C22C4" w:rsidRDefault="000C22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9BFE903" w14:textId="77777777" w:rsidR="00FA286B" w:rsidRDefault="00FA286B">
    <w:pPr>
      <w:pStyle w:val="aff8"/>
      <w:rPr>
        <w:rFonts w:cs="Arial"/>
      </w:rPr>
    </w:pPr>
  </w:p>
  <w:tbl>
    <w:tblPr>
      <w:tblW w:w="0" w:type="auto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tblLook w:val="04A0" w:firstRow="1" w:lastRow="0" w:firstColumn="1" w:lastColumn="0" w:noHBand="0" w:noVBand="1"/>
    </w:tblPr>
    <w:tblGrid>
      <w:gridCol w:w="5068"/>
      <w:gridCol w:w="5069"/>
    </w:tblGrid>
    <w:tr w:rsidR="00FA286B" w14:paraId="19E34CF4" w14:textId="77777777">
      <w:tc>
        <w:tcPr>
          <w:tcW w:w="5069" w:type="dxa"/>
          <w:shd w:val="clear" w:color="auto" w:fill="auto"/>
        </w:tcPr>
        <w:p w14:paraId="725AE99C" w14:textId="77777777" w:rsidR="00FA286B" w:rsidRDefault="00FA286B">
          <w:pPr>
            <w:pStyle w:val="aff6"/>
            <w:rPr>
              <w:rFonts w:cs="Arial"/>
              <w:szCs w:val="18"/>
            </w:rPr>
          </w:pPr>
        </w:p>
      </w:tc>
      <w:tc>
        <w:tcPr>
          <w:tcW w:w="5069" w:type="dxa"/>
          <w:shd w:val="clear" w:color="auto" w:fill="auto"/>
        </w:tcPr>
        <w:sdt>
          <w:sdtPr>
            <w:id w:val="1524744706"/>
            <w:docPartObj>
              <w:docPartGallery w:val="Page Numbers (Bottom of Page)"/>
              <w:docPartUnique/>
            </w:docPartObj>
          </w:sdtPr>
          <w:sdtEndPr/>
          <w:sdtContent>
            <w:p w14:paraId="24C0F77D" w14:textId="1C8D73A4" w:rsidR="00FA286B" w:rsidRDefault="00B441C9">
              <w:pPr>
                <w:pStyle w:val="aff8"/>
                <w:jc w:val="right"/>
              </w:pPr>
              <w:r>
                <w:fldChar w:fldCharType="begin"/>
              </w:r>
              <w:r>
                <w:instrText>PAGE   \* MERGEFORMAT</w:instrText>
              </w:r>
              <w:r>
                <w:fldChar w:fldCharType="separate"/>
              </w:r>
              <w:r w:rsidR="004047CF">
                <w:rPr>
                  <w:noProof/>
                </w:rPr>
                <w:t>1</w:t>
              </w:r>
              <w:r>
                <w:fldChar w:fldCharType="end"/>
              </w:r>
            </w:p>
          </w:sdtContent>
        </w:sdt>
      </w:tc>
    </w:tr>
  </w:tbl>
  <w:p w14:paraId="400BFE9D" w14:textId="77777777" w:rsidR="00FA286B" w:rsidRDefault="00FA286B">
    <w:pPr>
      <w:pStyle w:val="aff8"/>
      <w:rPr>
        <w:rFonts w:cs="Aria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1DE3562" w14:textId="77777777" w:rsidR="000C22C4" w:rsidRDefault="000C22C4">
      <w:r>
        <w:separator/>
      </w:r>
    </w:p>
  </w:footnote>
  <w:footnote w:type="continuationSeparator" w:id="0">
    <w:p w14:paraId="0C9C8551" w14:textId="77777777" w:rsidR="000C22C4" w:rsidRDefault="000C22C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tblLook w:val="04A0" w:firstRow="1" w:lastRow="0" w:firstColumn="1" w:lastColumn="0" w:noHBand="0" w:noVBand="1"/>
    </w:tblPr>
    <w:tblGrid>
      <w:gridCol w:w="5069"/>
      <w:gridCol w:w="5068"/>
    </w:tblGrid>
    <w:tr w:rsidR="00FA286B" w14:paraId="0D82252E" w14:textId="77777777">
      <w:tc>
        <w:tcPr>
          <w:tcW w:w="5069" w:type="dxa"/>
          <w:shd w:val="clear" w:color="auto" w:fill="auto"/>
        </w:tcPr>
        <w:p w14:paraId="5AA82201" w14:textId="2B132ED9" w:rsidR="00FA286B" w:rsidRDefault="00B441C9">
          <w:pPr>
            <w:pStyle w:val="aff6"/>
            <w:rPr>
              <w:rFonts w:cs="Arial"/>
              <w:szCs w:val="18"/>
            </w:rPr>
          </w:pPr>
          <w:r>
            <w:rPr>
              <w:rFonts w:cs="Arial"/>
              <w:szCs w:val="18"/>
            </w:rPr>
            <w:t>Компания D</w:t>
          </w:r>
          <w:r>
            <w:rPr>
              <w:rFonts w:cs="Arial"/>
              <w:szCs w:val="18"/>
              <w:lang w:val="en-US"/>
            </w:rPr>
            <w:t>irectum</w:t>
          </w:r>
          <w:r>
            <w:rPr>
              <w:rFonts w:cs="Arial"/>
              <w:szCs w:val="18"/>
            </w:rPr>
            <w:t xml:space="preserve">, </w:t>
          </w:r>
          <w:r>
            <w:rPr>
              <w:rFonts w:cs="Arial"/>
              <w:szCs w:val="18"/>
            </w:rPr>
            <w:fldChar w:fldCharType="begin"/>
          </w:r>
          <w:r>
            <w:rPr>
              <w:rFonts w:cs="Arial"/>
              <w:szCs w:val="18"/>
            </w:rPr>
            <w:instrText xml:space="preserve"> DATE  \@ "yyyy"  \* MERGEFORMAT </w:instrText>
          </w:r>
          <w:r>
            <w:rPr>
              <w:rFonts w:cs="Arial"/>
              <w:szCs w:val="18"/>
            </w:rPr>
            <w:fldChar w:fldCharType="separate"/>
          </w:r>
          <w:r w:rsidR="004047CF">
            <w:rPr>
              <w:rFonts w:cs="Arial"/>
              <w:noProof/>
              <w:szCs w:val="18"/>
            </w:rPr>
            <w:t>2025</w:t>
          </w:r>
          <w:r>
            <w:rPr>
              <w:rFonts w:cs="Arial"/>
              <w:szCs w:val="18"/>
            </w:rPr>
            <w:fldChar w:fldCharType="end"/>
          </w:r>
        </w:p>
      </w:tc>
      <w:tc>
        <w:tcPr>
          <w:tcW w:w="5069" w:type="dxa"/>
          <w:shd w:val="clear" w:color="auto" w:fill="auto"/>
        </w:tcPr>
        <w:p w14:paraId="7F2D722D" w14:textId="77777777" w:rsidR="00FA286B" w:rsidRDefault="00FA286B">
          <w:pPr>
            <w:pStyle w:val="aff6"/>
            <w:jc w:val="right"/>
            <w:rPr>
              <w:rFonts w:cs="Arial"/>
              <w:szCs w:val="18"/>
            </w:rPr>
          </w:pPr>
        </w:p>
      </w:tc>
    </w:tr>
  </w:tbl>
  <w:p w14:paraId="54D920DD" w14:textId="77777777" w:rsidR="00FA286B" w:rsidRDefault="00FA286B">
    <w:pPr>
      <w:pStyle w:val="aff6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CA09DF"/>
    <w:multiLevelType w:val="hybridMultilevel"/>
    <w:tmpl w:val="147C3D5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4663C7"/>
    <w:multiLevelType w:val="hybridMultilevel"/>
    <w:tmpl w:val="163E99BC"/>
    <w:lvl w:ilvl="0" w:tplc="42F2C738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27EA9036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0A76C2E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B1A477B6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160E995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D7F8F030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EE10990C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F19A4D86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638432DA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" w15:restartNumberingAfterBreak="0">
    <w:nsid w:val="1E1A144C"/>
    <w:multiLevelType w:val="hybridMultilevel"/>
    <w:tmpl w:val="CF9C3E80"/>
    <w:lvl w:ilvl="0" w:tplc="10C6C7B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799238A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D124EA64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7C7AF448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F8DEDD6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A4168C2C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13BEBFC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4072E66A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FB2A10A8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3" w15:restartNumberingAfterBreak="0">
    <w:nsid w:val="1E5B4201"/>
    <w:multiLevelType w:val="hybridMultilevel"/>
    <w:tmpl w:val="AC5607CC"/>
    <w:lvl w:ilvl="0" w:tplc="9BCC65BC">
      <w:start w:val="1"/>
      <w:numFmt w:val="bullet"/>
      <w:lvlText w:val="·"/>
      <w:lvlJc w:val="left"/>
      <w:pPr>
        <w:ind w:left="709" w:hanging="360"/>
      </w:pPr>
      <w:rPr>
        <w:rFonts w:ascii="Symbol" w:eastAsia="Symbol" w:hAnsi="Symbol" w:cs="Symbol" w:hint="default"/>
      </w:rPr>
    </w:lvl>
    <w:lvl w:ilvl="1" w:tplc="4342CBC6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 w:tplc="E42C0D52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 w:tplc="5F00FBCA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 w:tplc="2D7AE662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 w:tplc="D4986CE2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 w:tplc="B1F45994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 w:tplc="069C0D06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 w:tplc="20B4EF0E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4" w15:restartNumberingAfterBreak="0">
    <w:nsid w:val="1EEA3AFF"/>
    <w:multiLevelType w:val="hybridMultilevel"/>
    <w:tmpl w:val="05AAC656"/>
    <w:lvl w:ilvl="0" w:tplc="4F665F76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A78AF98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2642056C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4C10742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A9605C28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C0B4472A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80828D0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7E0AE086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3D60E1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5" w15:restartNumberingAfterBreak="0">
    <w:nsid w:val="21A32616"/>
    <w:multiLevelType w:val="hybridMultilevel"/>
    <w:tmpl w:val="9A649E4A"/>
    <w:lvl w:ilvl="0" w:tplc="02F6E95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754AF37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A720E66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E7EE4A5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F4FCFF2C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E170376A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2A2066C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CA20C592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9DE95C6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6" w15:restartNumberingAfterBreak="0">
    <w:nsid w:val="23801AAD"/>
    <w:multiLevelType w:val="hybridMultilevel"/>
    <w:tmpl w:val="0F9C15B4"/>
    <w:lvl w:ilvl="0" w:tplc="FAC4D5EC">
      <w:start w:val="1"/>
      <w:numFmt w:val="bullet"/>
      <w:lvlText w:val="·"/>
      <w:lvlJc w:val="left"/>
      <w:pPr>
        <w:ind w:left="709" w:hanging="360"/>
      </w:pPr>
      <w:rPr>
        <w:rFonts w:ascii="Symbol" w:eastAsia="Symbol" w:hAnsi="Symbol" w:cs="Symbol" w:hint="default"/>
      </w:rPr>
    </w:lvl>
    <w:lvl w:ilvl="1" w:tplc="55C86B0A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 w:tplc="C930D836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 w:tplc="1124EE6E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 w:tplc="B7688D16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 w:tplc="0F42ADBA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 w:tplc="30545F40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 w:tplc="726CF664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 w:tplc="F3AA8712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7" w15:restartNumberingAfterBreak="0">
    <w:nsid w:val="30EA4EA5"/>
    <w:multiLevelType w:val="hybridMultilevel"/>
    <w:tmpl w:val="BF98BE1E"/>
    <w:lvl w:ilvl="0" w:tplc="1AC096D2">
      <w:start w:val="1"/>
      <w:numFmt w:val="bullet"/>
      <w:lvlText w:val="·"/>
      <w:lvlJc w:val="left"/>
      <w:pPr>
        <w:ind w:left="709" w:hanging="360"/>
      </w:pPr>
      <w:rPr>
        <w:rFonts w:ascii="Symbol" w:eastAsia="Symbol" w:hAnsi="Symbol" w:cs="Symbol" w:hint="default"/>
        <w:color w:val="121416"/>
        <w:sz w:val="20"/>
      </w:rPr>
    </w:lvl>
    <w:lvl w:ilvl="1" w:tplc="9738D2AA">
      <w:start w:val="1"/>
      <w:numFmt w:val="bullet"/>
      <w:lvlText w:val="·"/>
      <w:lvlJc w:val="left"/>
      <w:pPr>
        <w:ind w:left="1429" w:hanging="360"/>
      </w:pPr>
      <w:rPr>
        <w:rFonts w:ascii="Symbol" w:eastAsia="Symbol" w:hAnsi="Symbol" w:cs="Symbol" w:hint="default"/>
        <w:color w:val="121416"/>
        <w:sz w:val="20"/>
      </w:rPr>
    </w:lvl>
    <w:lvl w:ilvl="2" w:tplc="6D6096B6">
      <w:start w:val="1"/>
      <w:numFmt w:val="bullet"/>
      <w:lvlText w:val="·"/>
      <w:lvlJc w:val="left"/>
      <w:pPr>
        <w:ind w:left="2149" w:hanging="360"/>
      </w:pPr>
      <w:rPr>
        <w:rFonts w:ascii="Symbol" w:eastAsia="Symbol" w:hAnsi="Symbol" w:cs="Symbol" w:hint="default"/>
        <w:color w:val="121416"/>
        <w:sz w:val="20"/>
      </w:rPr>
    </w:lvl>
    <w:lvl w:ilvl="3" w:tplc="360E32DC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  <w:color w:val="121416"/>
        <w:sz w:val="20"/>
      </w:rPr>
    </w:lvl>
    <w:lvl w:ilvl="4" w:tplc="7682D282">
      <w:start w:val="1"/>
      <w:numFmt w:val="bullet"/>
      <w:lvlText w:val="·"/>
      <w:lvlJc w:val="left"/>
      <w:pPr>
        <w:ind w:left="3589" w:hanging="360"/>
      </w:pPr>
      <w:rPr>
        <w:rFonts w:ascii="Symbol" w:eastAsia="Symbol" w:hAnsi="Symbol" w:cs="Symbol" w:hint="default"/>
        <w:color w:val="121416"/>
        <w:sz w:val="20"/>
      </w:rPr>
    </w:lvl>
    <w:lvl w:ilvl="5" w:tplc="82F2F578">
      <w:start w:val="1"/>
      <w:numFmt w:val="bullet"/>
      <w:lvlText w:val="·"/>
      <w:lvlJc w:val="left"/>
      <w:pPr>
        <w:ind w:left="4309" w:hanging="360"/>
      </w:pPr>
      <w:rPr>
        <w:rFonts w:ascii="Symbol" w:eastAsia="Symbol" w:hAnsi="Symbol" w:cs="Symbol" w:hint="default"/>
        <w:color w:val="121416"/>
        <w:sz w:val="20"/>
      </w:rPr>
    </w:lvl>
    <w:lvl w:ilvl="6" w:tplc="BFACA6C0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  <w:color w:val="121416"/>
        <w:sz w:val="20"/>
      </w:rPr>
    </w:lvl>
    <w:lvl w:ilvl="7" w:tplc="B74C8C58">
      <w:start w:val="1"/>
      <w:numFmt w:val="bullet"/>
      <w:lvlText w:val="·"/>
      <w:lvlJc w:val="left"/>
      <w:pPr>
        <w:ind w:left="5749" w:hanging="360"/>
      </w:pPr>
      <w:rPr>
        <w:rFonts w:ascii="Symbol" w:eastAsia="Symbol" w:hAnsi="Symbol" w:cs="Symbol" w:hint="default"/>
        <w:color w:val="121416"/>
        <w:sz w:val="20"/>
      </w:rPr>
    </w:lvl>
    <w:lvl w:ilvl="8" w:tplc="6E6EDDA8">
      <w:start w:val="1"/>
      <w:numFmt w:val="bullet"/>
      <w:lvlText w:val="·"/>
      <w:lvlJc w:val="left"/>
      <w:pPr>
        <w:ind w:left="6469" w:hanging="360"/>
      </w:pPr>
      <w:rPr>
        <w:rFonts w:ascii="Symbol" w:eastAsia="Symbol" w:hAnsi="Symbol" w:cs="Symbol" w:hint="default"/>
        <w:color w:val="121416"/>
        <w:sz w:val="20"/>
      </w:rPr>
    </w:lvl>
  </w:abstractNum>
  <w:abstractNum w:abstractNumId="8" w15:restartNumberingAfterBreak="0">
    <w:nsid w:val="3BA972A4"/>
    <w:multiLevelType w:val="multilevel"/>
    <w:tmpl w:val="AF8C2D4E"/>
    <w:styleLink w:val="a"/>
    <w:lvl w:ilvl="0">
      <w:start w:val="1"/>
      <w:numFmt w:val="decimal"/>
      <w:pStyle w:val="a"/>
      <w:lvlText w:val="%1.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sz w:val="20"/>
      </w:rPr>
    </w:lvl>
    <w:lvl w:ilvl="1">
      <w:start w:val="1"/>
      <w:numFmt w:val="decimal"/>
      <w:lvlText w:val="%1.%2"/>
      <w:lvlJc w:val="left"/>
      <w:pPr>
        <w:ind w:left="11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01" w:hanging="987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11" w:hanging="34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68" w:hanging="34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25" w:hanging="34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82" w:hanging="34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39" w:hanging="34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196" w:hanging="340"/>
      </w:pPr>
      <w:rPr>
        <w:rFonts w:hint="default"/>
      </w:rPr>
    </w:lvl>
  </w:abstractNum>
  <w:abstractNum w:abstractNumId="9" w15:restartNumberingAfterBreak="0">
    <w:nsid w:val="3C5253BE"/>
    <w:multiLevelType w:val="hybridMultilevel"/>
    <w:tmpl w:val="EDFA579C"/>
    <w:lvl w:ilvl="0" w:tplc="50067E84">
      <w:start w:val="1"/>
      <w:numFmt w:val="bullet"/>
      <w:lvlText w:val="·"/>
      <w:lvlJc w:val="left"/>
      <w:pPr>
        <w:ind w:left="709" w:hanging="360"/>
      </w:pPr>
      <w:rPr>
        <w:rFonts w:ascii="Symbol" w:eastAsia="Symbol" w:hAnsi="Symbol" w:cs="Symbol" w:hint="default"/>
      </w:rPr>
    </w:lvl>
    <w:lvl w:ilvl="1" w:tplc="FA72789E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 w:tplc="C3263568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 w:tplc="27483E36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 w:tplc="EA98826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 w:tplc="B54E2050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 w:tplc="EAE4DE04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 w:tplc="D526AB30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 w:tplc="DCBA5A1E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10" w15:restartNumberingAfterBreak="0">
    <w:nsid w:val="45370747"/>
    <w:multiLevelType w:val="hybridMultilevel"/>
    <w:tmpl w:val="A91AC212"/>
    <w:lvl w:ilvl="0" w:tplc="B40228C8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DE1A3E3A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BF4E9E4C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6498ADE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2CCA99CC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8E001E1A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0F2AFEA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26806FBE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A820B80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1" w15:restartNumberingAfterBreak="0">
    <w:nsid w:val="49480C5A"/>
    <w:multiLevelType w:val="hybridMultilevel"/>
    <w:tmpl w:val="1B68DF88"/>
    <w:lvl w:ilvl="0" w:tplc="00840770">
      <w:start w:val="1"/>
      <w:numFmt w:val="decimal"/>
      <w:lvlText w:val="%1."/>
      <w:lvlJc w:val="left"/>
      <w:pPr>
        <w:ind w:left="720" w:hanging="360"/>
      </w:pPr>
    </w:lvl>
    <w:lvl w:ilvl="1" w:tplc="A3322E14">
      <w:start w:val="1"/>
      <w:numFmt w:val="lowerLetter"/>
      <w:lvlText w:val="%2."/>
      <w:lvlJc w:val="left"/>
      <w:pPr>
        <w:ind w:left="1440" w:hanging="360"/>
      </w:pPr>
    </w:lvl>
    <w:lvl w:ilvl="2" w:tplc="19B81CCC">
      <w:start w:val="1"/>
      <w:numFmt w:val="lowerRoman"/>
      <w:lvlText w:val="%3."/>
      <w:lvlJc w:val="right"/>
      <w:pPr>
        <w:ind w:left="2160" w:hanging="180"/>
      </w:pPr>
    </w:lvl>
    <w:lvl w:ilvl="3" w:tplc="FD509ACC">
      <w:start w:val="1"/>
      <w:numFmt w:val="decimal"/>
      <w:lvlText w:val="%4."/>
      <w:lvlJc w:val="left"/>
      <w:pPr>
        <w:ind w:left="2880" w:hanging="360"/>
      </w:pPr>
    </w:lvl>
    <w:lvl w:ilvl="4" w:tplc="055C14CA">
      <w:start w:val="1"/>
      <w:numFmt w:val="lowerLetter"/>
      <w:lvlText w:val="%5."/>
      <w:lvlJc w:val="left"/>
      <w:pPr>
        <w:ind w:left="3600" w:hanging="360"/>
      </w:pPr>
    </w:lvl>
    <w:lvl w:ilvl="5" w:tplc="D0FC042A">
      <w:start w:val="1"/>
      <w:numFmt w:val="lowerRoman"/>
      <w:lvlText w:val="%6."/>
      <w:lvlJc w:val="right"/>
      <w:pPr>
        <w:ind w:left="4320" w:hanging="180"/>
      </w:pPr>
    </w:lvl>
    <w:lvl w:ilvl="6" w:tplc="3F8C62AA">
      <w:start w:val="1"/>
      <w:numFmt w:val="decimal"/>
      <w:lvlText w:val="%7."/>
      <w:lvlJc w:val="left"/>
      <w:pPr>
        <w:ind w:left="5040" w:hanging="360"/>
      </w:pPr>
    </w:lvl>
    <w:lvl w:ilvl="7" w:tplc="69C2BEC2">
      <w:start w:val="1"/>
      <w:numFmt w:val="lowerLetter"/>
      <w:lvlText w:val="%8."/>
      <w:lvlJc w:val="left"/>
      <w:pPr>
        <w:ind w:left="5760" w:hanging="360"/>
      </w:pPr>
    </w:lvl>
    <w:lvl w:ilvl="8" w:tplc="C54EFDA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99A53B5"/>
    <w:multiLevelType w:val="hybridMultilevel"/>
    <w:tmpl w:val="4140AFE4"/>
    <w:lvl w:ilvl="0" w:tplc="3E1ABD28">
      <w:start w:val="1"/>
      <w:numFmt w:val="bullet"/>
      <w:pStyle w:val="a0"/>
      <w:lvlText w:val="●"/>
      <w:lvlJc w:val="left"/>
      <w:pPr>
        <w:tabs>
          <w:tab w:val="num" w:pos="0"/>
        </w:tabs>
        <w:ind w:left="709" w:hanging="284"/>
      </w:pPr>
      <w:rPr>
        <w:rFonts w:ascii="Arial" w:hAnsi="Arial" w:hint="default"/>
        <w:b w:val="0"/>
        <w:i w:val="0"/>
        <w:color w:val="auto"/>
        <w:sz w:val="20"/>
      </w:rPr>
    </w:lvl>
    <w:lvl w:ilvl="1" w:tplc="5206128E">
      <w:start w:val="1"/>
      <w:numFmt w:val="bullet"/>
      <w:lvlText w:val="●"/>
      <w:lvlJc w:val="left"/>
      <w:pPr>
        <w:tabs>
          <w:tab w:val="num" w:pos="992"/>
        </w:tabs>
        <w:ind w:left="1276" w:hanging="284"/>
      </w:pPr>
      <w:rPr>
        <w:rFonts w:ascii="Arial" w:hAnsi="Arial" w:hint="default"/>
        <w:color w:val="auto"/>
      </w:rPr>
    </w:lvl>
    <w:lvl w:ilvl="2" w:tplc="36C44D42">
      <w:start w:val="1"/>
      <w:numFmt w:val="bullet"/>
      <w:lvlText w:val="●"/>
      <w:lvlJc w:val="left"/>
      <w:pPr>
        <w:tabs>
          <w:tab w:val="num" w:pos="1559"/>
        </w:tabs>
        <w:ind w:left="1843" w:hanging="284"/>
      </w:pPr>
      <w:rPr>
        <w:rFonts w:ascii="Arial" w:hAnsi="Arial" w:hint="default"/>
        <w:color w:val="auto"/>
      </w:rPr>
    </w:lvl>
    <w:lvl w:ilvl="3" w:tplc="50EC010E">
      <w:start w:val="1"/>
      <w:numFmt w:val="bullet"/>
      <w:suff w:val="nothing"/>
      <w:lvlText w:val="●"/>
      <w:lvlJc w:val="left"/>
      <w:pPr>
        <w:ind w:left="2552" w:hanging="426"/>
      </w:pPr>
      <w:rPr>
        <w:rFonts w:ascii="Arial" w:hAnsi="Arial" w:hint="default"/>
        <w:color w:val="auto"/>
      </w:rPr>
    </w:lvl>
    <w:lvl w:ilvl="4" w:tplc="F224CF0E">
      <w:start w:val="1"/>
      <w:numFmt w:val="bullet"/>
      <w:suff w:val="nothing"/>
      <w:lvlText w:val="●"/>
      <w:lvlJc w:val="left"/>
      <w:pPr>
        <w:ind w:left="3119" w:hanging="426"/>
      </w:pPr>
      <w:rPr>
        <w:rFonts w:ascii="Arial" w:hAnsi="Arial" w:hint="default"/>
        <w:color w:val="auto"/>
      </w:rPr>
    </w:lvl>
    <w:lvl w:ilvl="5" w:tplc="F6524064">
      <w:start w:val="1"/>
      <w:numFmt w:val="bullet"/>
      <w:suff w:val="nothing"/>
      <w:lvlText w:val="●"/>
      <w:lvlJc w:val="left"/>
      <w:pPr>
        <w:ind w:left="3686" w:hanging="426"/>
      </w:pPr>
      <w:rPr>
        <w:rFonts w:ascii="Arial" w:hAnsi="Arial" w:hint="default"/>
        <w:color w:val="auto"/>
      </w:rPr>
    </w:lvl>
    <w:lvl w:ilvl="6" w:tplc="BD5891CE">
      <w:start w:val="1"/>
      <w:numFmt w:val="bullet"/>
      <w:suff w:val="nothing"/>
      <w:lvlText w:val="●"/>
      <w:lvlJc w:val="left"/>
      <w:pPr>
        <w:ind w:left="4253" w:hanging="426"/>
      </w:pPr>
      <w:rPr>
        <w:rFonts w:ascii="Arial" w:hAnsi="Arial" w:hint="default"/>
        <w:color w:val="auto"/>
      </w:rPr>
    </w:lvl>
    <w:lvl w:ilvl="7" w:tplc="168A0AD2">
      <w:start w:val="1"/>
      <w:numFmt w:val="bullet"/>
      <w:suff w:val="nothing"/>
      <w:lvlText w:val="●"/>
      <w:lvlJc w:val="left"/>
      <w:pPr>
        <w:ind w:left="4820" w:hanging="426"/>
      </w:pPr>
      <w:rPr>
        <w:rFonts w:ascii="Arial" w:hAnsi="Arial" w:hint="default"/>
        <w:color w:val="auto"/>
      </w:rPr>
    </w:lvl>
    <w:lvl w:ilvl="8" w:tplc="81FC3C68">
      <w:start w:val="1"/>
      <w:numFmt w:val="bullet"/>
      <w:suff w:val="nothing"/>
      <w:lvlText w:val="●"/>
      <w:lvlJc w:val="left"/>
      <w:pPr>
        <w:ind w:left="5387" w:hanging="426"/>
      </w:pPr>
      <w:rPr>
        <w:rFonts w:ascii="Arial" w:hAnsi="Arial" w:hint="default"/>
        <w:color w:val="auto"/>
      </w:rPr>
    </w:lvl>
  </w:abstractNum>
  <w:abstractNum w:abstractNumId="13" w15:restartNumberingAfterBreak="0">
    <w:nsid w:val="5B7C64E0"/>
    <w:multiLevelType w:val="hybridMultilevel"/>
    <w:tmpl w:val="6E5C45F8"/>
    <w:lvl w:ilvl="0" w:tplc="C98EC028">
      <w:start w:val="1"/>
      <w:numFmt w:val="bullet"/>
      <w:lvlText w:val="·"/>
      <w:lvlJc w:val="left"/>
      <w:pPr>
        <w:ind w:left="709" w:hanging="360"/>
      </w:pPr>
      <w:rPr>
        <w:rFonts w:ascii="Symbol" w:eastAsia="Symbol" w:hAnsi="Symbol" w:cs="Symbol" w:hint="default"/>
      </w:rPr>
    </w:lvl>
    <w:lvl w:ilvl="1" w:tplc="6F384B58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 w:tplc="F4503E28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 w:tplc="D95ADE28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 w:tplc="520AC4C8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 w:tplc="AB707492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 w:tplc="7C705A6A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 w:tplc="0A1C4AB8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 w:tplc="EFD8BA3A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14" w15:restartNumberingAfterBreak="0">
    <w:nsid w:val="64782E5C"/>
    <w:multiLevelType w:val="hybridMultilevel"/>
    <w:tmpl w:val="94423B48"/>
    <w:lvl w:ilvl="0" w:tplc="8BE450AA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10B69D46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067AEF6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439E7C3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F06E4AF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38989C1C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6F0A2B72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0E74B48C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D96CC5EA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5" w15:restartNumberingAfterBreak="0">
    <w:nsid w:val="73AF48D1"/>
    <w:multiLevelType w:val="multilevel"/>
    <w:tmpl w:val="599631FE"/>
    <w:lvl w:ilvl="0">
      <w:start w:val="1"/>
      <w:numFmt w:val="decimal"/>
      <w:pStyle w:val="a1"/>
      <w:lvlText w:val="%1."/>
      <w:lvlJc w:val="left"/>
      <w:pPr>
        <w:tabs>
          <w:tab w:val="num" w:pos="0"/>
        </w:tabs>
        <w:ind w:left="284" w:hanging="284"/>
      </w:pPr>
      <w:rPr>
        <w:rFonts w:ascii="Arial" w:hAnsi="Arial" w:hint="default"/>
        <w:sz w:val="20"/>
      </w:rPr>
    </w:lvl>
    <w:lvl w:ilvl="1">
      <w:start w:val="1"/>
      <w:numFmt w:val="decimal"/>
      <w:lvlText w:val="%1.%2."/>
      <w:lvlJc w:val="left"/>
      <w:pPr>
        <w:tabs>
          <w:tab w:val="num" w:pos="992"/>
        </w:tabs>
        <w:ind w:left="992" w:hanging="42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985" w:hanging="284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268"/>
        </w:tabs>
        <w:ind w:left="2552" w:hanging="284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835"/>
        </w:tabs>
        <w:ind w:left="3119" w:hanging="284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402"/>
        </w:tabs>
        <w:ind w:left="3686" w:hanging="284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969"/>
        </w:tabs>
        <w:ind w:left="4253" w:hanging="284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4536"/>
        </w:tabs>
        <w:ind w:left="4820" w:hanging="284"/>
      </w:pPr>
      <w:rPr>
        <w:rFonts w:hint="default"/>
      </w:rPr>
    </w:lvl>
  </w:abstractNum>
  <w:abstractNum w:abstractNumId="16" w15:restartNumberingAfterBreak="0">
    <w:nsid w:val="779B4907"/>
    <w:multiLevelType w:val="hybridMultilevel"/>
    <w:tmpl w:val="8EE201C0"/>
    <w:lvl w:ilvl="0" w:tplc="62A49E4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2F6E16E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E86E4CC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E2AEB7E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98B6093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C650A61A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CE54FD78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9F5E67C2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01CC62C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7" w15:restartNumberingAfterBreak="0">
    <w:nsid w:val="79062A88"/>
    <w:multiLevelType w:val="hybridMultilevel"/>
    <w:tmpl w:val="AF9096C6"/>
    <w:lvl w:ilvl="0" w:tplc="BBB0F1D8">
      <w:start w:val="1"/>
      <w:numFmt w:val="bullet"/>
      <w:lvlText w:val="·"/>
      <w:lvlJc w:val="left"/>
      <w:pPr>
        <w:ind w:left="709" w:hanging="360"/>
      </w:pPr>
      <w:rPr>
        <w:rFonts w:ascii="Symbol" w:eastAsia="Symbol" w:hAnsi="Symbol" w:cs="Symbol" w:hint="default"/>
      </w:rPr>
    </w:lvl>
    <w:lvl w:ilvl="1" w:tplc="713694FA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 w:tplc="E4788D34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 w:tplc="977C0F56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 w:tplc="D9DEBE70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 w:tplc="7D548BEE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 w:tplc="C27A55BE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 w:tplc="B1A2278C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 w:tplc="6C569DE0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18" w15:restartNumberingAfterBreak="0">
    <w:nsid w:val="7A2D6791"/>
    <w:multiLevelType w:val="hybridMultilevel"/>
    <w:tmpl w:val="E346B330"/>
    <w:lvl w:ilvl="0" w:tplc="D632FC1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34F62404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1FBA62F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585ADC06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5C9EAD06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4328AFC4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84A40ECC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E7C05166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0AE679A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7F8562D4"/>
    <w:multiLevelType w:val="hybridMultilevel"/>
    <w:tmpl w:val="6930BEA6"/>
    <w:lvl w:ilvl="0" w:tplc="6146491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24A06382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E0803E7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FB0A5124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3C588A98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513E0964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814249E2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BB903744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902A155C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num w:numId="1">
    <w:abstractNumId w:val="15"/>
  </w:num>
  <w:num w:numId="2">
    <w:abstractNumId w:val="8"/>
  </w:num>
  <w:num w:numId="3">
    <w:abstractNumId w:val="12"/>
  </w:num>
  <w:num w:numId="4">
    <w:abstractNumId w:val="18"/>
  </w:num>
  <w:num w:numId="5">
    <w:abstractNumId w:val="7"/>
  </w:num>
  <w:num w:numId="6">
    <w:abstractNumId w:val="19"/>
  </w:num>
  <w:num w:numId="7">
    <w:abstractNumId w:val="14"/>
  </w:num>
  <w:num w:numId="8">
    <w:abstractNumId w:val="4"/>
  </w:num>
  <w:num w:numId="9">
    <w:abstractNumId w:val="16"/>
  </w:num>
  <w:num w:numId="10">
    <w:abstractNumId w:val="1"/>
  </w:num>
  <w:num w:numId="11">
    <w:abstractNumId w:val="5"/>
  </w:num>
  <w:num w:numId="12">
    <w:abstractNumId w:val="2"/>
  </w:num>
  <w:num w:numId="13">
    <w:abstractNumId w:val="3"/>
  </w:num>
  <w:num w:numId="14">
    <w:abstractNumId w:val="10"/>
  </w:num>
  <w:num w:numId="15">
    <w:abstractNumId w:val="9"/>
  </w:num>
  <w:num w:numId="16">
    <w:abstractNumId w:val="11"/>
  </w:num>
  <w:num w:numId="17">
    <w:abstractNumId w:val="13"/>
  </w:num>
  <w:num w:numId="18">
    <w:abstractNumId w:val="17"/>
  </w:num>
  <w:num w:numId="19">
    <w:abstractNumId w:val="6"/>
  </w:num>
  <w:num w:numId="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286B"/>
    <w:rsid w:val="00005EBF"/>
    <w:rsid w:val="000C22C4"/>
    <w:rsid w:val="00164400"/>
    <w:rsid w:val="00187C68"/>
    <w:rsid w:val="001C29A4"/>
    <w:rsid w:val="003234D6"/>
    <w:rsid w:val="003D22EF"/>
    <w:rsid w:val="00402E75"/>
    <w:rsid w:val="004047CF"/>
    <w:rsid w:val="004A07E4"/>
    <w:rsid w:val="00533A8B"/>
    <w:rsid w:val="00545121"/>
    <w:rsid w:val="00572F32"/>
    <w:rsid w:val="00650BFA"/>
    <w:rsid w:val="0067123A"/>
    <w:rsid w:val="006D230E"/>
    <w:rsid w:val="006E0681"/>
    <w:rsid w:val="00706197"/>
    <w:rsid w:val="00763AB7"/>
    <w:rsid w:val="007F6A89"/>
    <w:rsid w:val="00827788"/>
    <w:rsid w:val="008866C1"/>
    <w:rsid w:val="008961A8"/>
    <w:rsid w:val="008E4AA1"/>
    <w:rsid w:val="008F7003"/>
    <w:rsid w:val="00967D58"/>
    <w:rsid w:val="00997153"/>
    <w:rsid w:val="009E7924"/>
    <w:rsid w:val="009F7BD4"/>
    <w:rsid w:val="00A045D2"/>
    <w:rsid w:val="00A10C75"/>
    <w:rsid w:val="00A25DA4"/>
    <w:rsid w:val="00A33812"/>
    <w:rsid w:val="00AA65D2"/>
    <w:rsid w:val="00B31648"/>
    <w:rsid w:val="00B32F8C"/>
    <w:rsid w:val="00B441C9"/>
    <w:rsid w:val="00C00E54"/>
    <w:rsid w:val="00C132FF"/>
    <w:rsid w:val="00C34104"/>
    <w:rsid w:val="00C50CA6"/>
    <w:rsid w:val="00CA217B"/>
    <w:rsid w:val="00CA5362"/>
    <w:rsid w:val="00CD299E"/>
    <w:rsid w:val="00CE0C97"/>
    <w:rsid w:val="00D142A4"/>
    <w:rsid w:val="00D41EFD"/>
    <w:rsid w:val="00D547E3"/>
    <w:rsid w:val="00E357E0"/>
    <w:rsid w:val="00F769F4"/>
    <w:rsid w:val="00FA286B"/>
    <w:rsid w:val="00FF01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E8EEB3"/>
  <w15:docId w15:val="{CC16C421-7FD6-42EB-ADB5-E738D798A2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HAnsi" w:hAnsi="Arial" w:cs="Times New Roman"/>
        <w:lang w:val="ru-RU" w:eastAsia="en-US" w:bidi="ar-SA"/>
      </w:rPr>
    </w:rPrDefault>
    <w:pPrDefault>
      <w:pPr>
        <w:spacing w:before="160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semiHidden/>
    <w:qFormat/>
  </w:style>
  <w:style w:type="paragraph" w:styleId="1">
    <w:name w:val="heading 1"/>
    <w:basedOn w:val="a3"/>
    <w:next w:val="a3"/>
    <w:link w:val="10"/>
    <w:qFormat/>
    <w:pPr>
      <w:keepNext/>
      <w:spacing w:before="480"/>
      <w:jc w:val="left"/>
      <w:outlineLvl w:val="0"/>
    </w:pPr>
    <w:rPr>
      <w:rFonts w:cs="Arial"/>
      <w:color w:val="1F497D"/>
      <w:sz w:val="36"/>
      <w:szCs w:val="32"/>
    </w:rPr>
  </w:style>
  <w:style w:type="paragraph" w:styleId="2">
    <w:name w:val="heading 2"/>
    <w:basedOn w:val="a3"/>
    <w:next w:val="a3"/>
    <w:link w:val="20"/>
    <w:uiPriority w:val="9"/>
    <w:qFormat/>
    <w:pPr>
      <w:keepNext/>
      <w:spacing w:before="400" w:after="120"/>
      <w:jc w:val="left"/>
      <w:outlineLvl w:val="1"/>
    </w:pPr>
    <w:rPr>
      <w:color w:val="1F497D"/>
      <w:sz w:val="28"/>
    </w:rPr>
  </w:style>
  <w:style w:type="paragraph" w:styleId="3">
    <w:name w:val="heading 3"/>
    <w:basedOn w:val="a3"/>
    <w:next w:val="a3"/>
    <w:link w:val="30"/>
    <w:qFormat/>
    <w:pPr>
      <w:keepNext/>
      <w:spacing w:before="320" w:after="120"/>
      <w:jc w:val="left"/>
      <w:outlineLvl w:val="2"/>
    </w:pPr>
    <w:rPr>
      <w:color w:val="1F497D"/>
      <w:sz w:val="24"/>
    </w:rPr>
  </w:style>
  <w:style w:type="paragraph" w:styleId="4">
    <w:name w:val="heading 4"/>
    <w:basedOn w:val="a2"/>
    <w:next w:val="a2"/>
    <w:link w:val="40"/>
    <w:qFormat/>
    <w:pPr>
      <w:keepNext/>
      <w:keepLines/>
      <w:spacing w:before="200" w:after="120"/>
      <w:jc w:val="left"/>
      <w:outlineLvl w:val="3"/>
    </w:pPr>
    <w:rPr>
      <w:rFonts w:eastAsia="Times New Roman"/>
      <w:i/>
      <w:color w:val="1F497D"/>
      <w:sz w:val="22"/>
      <w:lang w:eastAsia="ru-RU"/>
    </w:rPr>
  </w:style>
  <w:style w:type="paragraph" w:styleId="5">
    <w:name w:val="heading 5"/>
    <w:basedOn w:val="a2"/>
    <w:next w:val="a2"/>
    <w:link w:val="50"/>
    <w:qFormat/>
    <w:pPr>
      <w:keepNext/>
      <w:spacing w:after="120"/>
      <w:jc w:val="left"/>
      <w:outlineLvl w:val="4"/>
    </w:pPr>
    <w:rPr>
      <w:rFonts w:eastAsia="Times New Roman"/>
      <w:b/>
      <w:color w:val="1F497D"/>
      <w:lang w:eastAsia="ru-RU"/>
    </w:rPr>
  </w:style>
  <w:style w:type="paragraph" w:styleId="6">
    <w:name w:val="heading 6"/>
    <w:basedOn w:val="a2"/>
    <w:next w:val="a2"/>
    <w:link w:val="60"/>
    <w:qFormat/>
    <w:pPr>
      <w:spacing w:before="240" w:after="60"/>
      <w:outlineLvl w:val="5"/>
    </w:pPr>
    <w:rPr>
      <w:rFonts w:eastAsia="Times New Roman"/>
      <w:lang w:eastAsia="ru-RU"/>
    </w:rPr>
  </w:style>
  <w:style w:type="paragraph" w:styleId="7">
    <w:name w:val="heading 7"/>
    <w:basedOn w:val="a2"/>
    <w:next w:val="a2"/>
    <w:link w:val="70"/>
    <w:uiPriority w:val="9"/>
    <w:semiHidden/>
    <w:qFormat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2"/>
    <w:next w:val="a2"/>
    <w:link w:val="80"/>
    <w:uiPriority w:val="9"/>
    <w:unhideWhenUsed/>
    <w:qFormat/>
    <w:pPr>
      <w:keepNext/>
      <w:keepLines/>
      <w:spacing w:before="200"/>
      <w:jc w:val="left"/>
      <w:outlineLvl w:val="7"/>
    </w:pPr>
    <w:rPr>
      <w:rFonts w:eastAsiaTheme="majorEastAsia" w:cstheme="majorBidi"/>
      <w:color w:val="404040" w:themeColor="text1" w:themeTint="BF"/>
    </w:rPr>
  </w:style>
  <w:style w:type="paragraph" w:styleId="9">
    <w:name w:val="heading 9"/>
    <w:basedOn w:val="a2"/>
    <w:next w:val="a2"/>
    <w:link w:val="90"/>
    <w:uiPriority w:val="9"/>
    <w:unhideWhenUsed/>
    <w:qFormat/>
    <w:pPr>
      <w:keepNext/>
      <w:keepLines/>
      <w:spacing w:before="200"/>
      <w:jc w:val="left"/>
      <w:outlineLvl w:val="8"/>
    </w:pPr>
    <w:rPr>
      <w:rFonts w:eastAsiaTheme="majorEastAsia" w:cstheme="majorBidi"/>
      <w:iCs/>
      <w:color w:val="404040" w:themeColor="text1" w:themeTint="BF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character" w:customStyle="1" w:styleId="Heading1Char">
    <w:name w:val="Heading 1 Char"/>
    <w:basedOn w:val="a4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4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4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a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a4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a4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a4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a4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a4"/>
    <w:uiPriority w:val="9"/>
    <w:rPr>
      <w:rFonts w:ascii="Arial" w:eastAsia="Arial" w:hAnsi="Arial" w:cs="Arial"/>
      <w:i/>
      <w:iCs/>
      <w:sz w:val="21"/>
      <w:szCs w:val="21"/>
    </w:rPr>
  </w:style>
  <w:style w:type="paragraph" w:styleId="a7">
    <w:name w:val="No Spacing"/>
    <w:uiPriority w:val="1"/>
    <w:qFormat/>
    <w:pPr>
      <w:spacing w:before="0"/>
    </w:pPr>
  </w:style>
  <w:style w:type="character" w:customStyle="1" w:styleId="TitleChar">
    <w:name w:val="Title Char"/>
    <w:basedOn w:val="a4"/>
    <w:uiPriority w:val="10"/>
    <w:rPr>
      <w:sz w:val="48"/>
      <w:szCs w:val="48"/>
    </w:rPr>
  </w:style>
  <w:style w:type="paragraph" w:styleId="a8">
    <w:name w:val="Subtitle"/>
    <w:basedOn w:val="a2"/>
    <w:next w:val="a2"/>
    <w:link w:val="a9"/>
    <w:uiPriority w:val="11"/>
    <w:qFormat/>
    <w:pPr>
      <w:spacing w:before="200" w:after="200"/>
    </w:pPr>
    <w:rPr>
      <w:sz w:val="24"/>
      <w:szCs w:val="24"/>
    </w:rPr>
  </w:style>
  <w:style w:type="character" w:customStyle="1" w:styleId="a9">
    <w:name w:val="Подзаголовок Знак"/>
    <w:basedOn w:val="a4"/>
    <w:link w:val="a8"/>
    <w:uiPriority w:val="11"/>
    <w:rPr>
      <w:sz w:val="24"/>
      <w:szCs w:val="24"/>
    </w:rPr>
  </w:style>
  <w:style w:type="paragraph" w:styleId="21">
    <w:name w:val="Quote"/>
    <w:basedOn w:val="a2"/>
    <w:next w:val="a2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a">
    <w:name w:val="Intense Quote"/>
    <w:basedOn w:val="a2"/>
    <w:next w:val="a2"/>
    <w:link w:val="ab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b">
    <w:name w:val="Выделенная цитата Знак"/>
    <w:link w:val="aa"/>
    <w:uiPriority w:val="30"/>
    <w:rPr>
      <w:i/>
    </w:rPr>
  </w:style>
  <w:style w:type="character" w:customStyle="1" w:styleId="HeaderChar">
    <w:name w:val="Header Char"/>
    <w:basedOn w:val="a4"/>
    <w:uiPriority w:val="99"/>
  </w:style>
  <w:style w:type="character" w:customStyle="1" w:styleId="FooterChar">
    <w:name w:val="Footer Char"/>
    <w:basedOn w:val="a4"/>
    <w:uiPriority w:val="99"/>
  </w:style>
  <w:style w:type="character" w:customStyle="1" w:styleId="CaptionChar">
    <w:name w:val="Caption Char"/>
    <w:uiPriority w:val="99"/>
  </w:style>
  <w:style w:type="table" w:customStyle="1" w:styleId="TableGridLight">
    <w:name w:val="Table Grid Light"/>
    <w:basedOn w:val="a5"/>
    <w:uiPriority w:val="59"/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customStyle="1" w:styleId="11">
    <w:name w:val="Таблица простая 11"/>
    <w:basedOn w:val="a5"/>
    <w:uiPriority w:val="59"/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210">
    <w:name w:val="Таблица простая 21"/>
    <w:basedOn w:val="a5"/>
    <w:uiPriority w:val="59"/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31">
    <w:name w:val="Таблица простая 31"/>
    <w:basedOn w:val="a5"/>
    <w:uiPriority w:val="99"/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41">
    <w:name w:val="Таблица простая 41"/>
    <w:basedOn w:val="a5"/>
    <w:uiPriority w:val="99"/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51">
    <w:name w:val="Таблица простая 51"/>
    <w:basedOn w:val="a5"/>
    <w:uiPriority w:val="99"/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-11">
    <w:name w:val="Таблица-сетка 1 светлая1"/>
    <w:basedOn w:val="a5"/>
    <w:uiPriority w:val="99"/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5"/>
    <w:uiPriority w:val="99"/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a5"/>
    <w:uiPriority w:val="99"/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a5"/>
    <w:uiPriority w:val="99"/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a5"/>
    <w:uiPriority w:val="99"/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a5"/>
    <w:uiPriority w:val="99"/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a5"/>
    <w:uiPriority w:val="99"/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customStyle="1" w:styleId="-21">
    <w:name w:val="Таблица-сетка 21"/>
    <w:basedOn w:val="a5"/>
    <w:uiPriority w:val="99"/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5"/>
    <w:uiPriority w:val="99"/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2-Accent2">
    <w:name w:val="Grid Table 2 - Accent 2"/>
    <w:basedOn w:val="a5"/>
    <w:uiPriority w:val="99"/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2-Accent3">
    <w:name w:val="Grid Table 2 - Accent 3"/>
    <w:basedOn w:val="a5"/>
    <w:uiPriority w:val="99"/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2-Accent4">
    <w:name w:val="Grid Table 2 - Accent 4"/>
    <w:basedOn w:val="a5"/>
    <w:uiPriority w:val="99"/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2-Accent5">
    <w:name w:val="Grid Table 2 - Accent 5"/>
    <w:basedOn w:val="a5"/>
    <w:uiPriority w:val="99"/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2-Accent6">
    <w:name w:val="Grid Table 2 - Accent 6"/>
    <w:basedOn w:val="a5"/>
    <w:uiPriority w:val="99"/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-31">
    <w:name w:val="Таблица-сетка 31"/>
    <w:basedOn w:val="a5"/>
    <w:uiPriority w:val="99"/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5"/>
    <w:uiPriority w:val="99"/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3-Accent2">
    <w:name w:val="Grid Table 3 - Accent 2"/>
    <w:basedOn w:val="a5"/>
    <w:uiPriority w:val="99"/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3-Accent3">
    <w:name w:val="Grid Table 3 - Accent 3"/>
    <w:basedOn w:val="a5"/>
    <w:uiPriority w:val="99"/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3-Accent4">
    <w:name w:val="Grid Table 3 - Accent 4"/>
    <w:basedOn w:val="a5"/>
    <w:uiPriority w:val="99"/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3-Accent5">
    <w:name w:val="Grid Table 3 - Accent 5"/>
    <w:basedOn w:val="a5"/>
    <w:uiPriority w:val="99"/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3-Accent6">
    <w:name w:val="Grid Table 3 - Accent 6"/>
    <w:basedOn w:val="a5"/>
    <w:uiPriority w:val="99"/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-41">
    <w:name w:val="Таблица-сетка 41"/>
    <w:basedOn w:val="a5"/>
    <w:uiPriority w:val="59"/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5"/>
    <w:uiPriority w:val="59"/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customStyle="1" w:styleId="GridTable4-Accent2">
    <w:name w:val="Grid Table 4 - Accent 2"/>
    <w:basedOn w:val="a5"/>
    <w:uiPriority w:val="59"/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4-Accent3">
    <w:name w:val="Grid Table 4 - Accent 3"/>
    <w:basedOn w:val="a5"/>
    <w:uiPriority w:val="59"/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4-Accent4">
    <w:name w:val="Grid Table 4 - Accent 4"/>
    <w:basedOn w:val="a5"/>
    <w:uiPriority w:val="59"/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4-Accent5">
    <w:name w:val="Grid Table 4 - Accent 5"/>
    <w:basedOn w:val="a5"/>
    <w:uiPriority w:val="59"/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4-Accent6">
    <w:name w:val="Grid Table 4 - Accent 6"/>
    <w:basedOn w:val="a5"/>
    <w:uiPriority w:val="59"/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-51">
    <w:name w:val="Таблица-сетка 5 темная1"/>
    <w:basedOn w:val="a5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5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customStyle="1" w:styleId="GridTable5Dark-Accent2">
    <w:name w:val="Grid Table 5 Dark - Accent 2"/>
    <w:basedOn w:val="a5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customStyle="1" w:styleId="GridTable5Dark-Accent3">
    <w:name w:val="Grid Table 5 Dark - Accent 3"/>
    <w:basedOn w:val="a5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basedOn w:val="a5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customStyle="1" w:styleId="GridTable5Dark-Accent5">
    <w:name w:val="Grid Table 5 Dark - Accent 5"/>
    <w:basedOn w:val="a5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customStyle="1" w:styleId="GridTable5Dark-Accent6">
    <w:name w:val="Grid Table 5 Dark - Accent 6"/>
    <w:basedOn w:val="a5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customStyle="1" w:styleId="-61">
    <w:name w:val="Таблица-сетка 6 цветная1"/>
    <w:basedOn w:val="a5"/>
    <w:uiPriority w:val="99"/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5"/>
    <w:uiPriority w:val="99"/>
    <w:tblPr>
      <w:tblStyleRowBandSize w:val="1"/>
      <w:tblStyleColBandSize w:val="1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5"/>
    <w:uiPriority w:val="99"/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5"/>
    <w:uiPriority w:val="99"/>
    <w:tblPr>
      <w:tblStyleRowBandSize w:val="1"/>
      <w:tblStyleColBandSize w:val="1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5"/>
    <w:uiPriority w:val="99"/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5"/>
    <w:uiPriority w:val="99"/>
    <w:tblPr>
      <w:tblStyleRowBandSize w:val="1"/>
      <w:tblStyleColBandSize w:val="1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5"/>
    <w:uiPriority w:val="99"/>
    <w:tblPr>
      <w:tblStyleRowBandSize w:val="1"/>
      <w:tblStyleColBandSize w:val="1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-71">
    <w:name w:val="Таблица-сетка 7 цветная1"/>
    <w:basedOn w:val="a5"/>
    <w:uiPriority w:val="99"/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5"/>
    <w:uiPriority w:val="99"/>
    <w:tblPr>
      <w:tblStyleRowBandSize w:val="1"/>
      <w:tblStyleColBandSize w:val="1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6BFDD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6BFDD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5"/>
    <w:uiPriority w:val="99"/>
    <w:tblPr>
      <w:tblStyleRowBandSize w:val="1"/>
      <w:tblStyleColBandSize w:val="1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5"/>
    <w:uiPriority w:val="99"/>
    <w:tblPr>
      <w:tblStyleRowBandSize w:val="1"/>
      <w:tblStyleColBandSize w:val="1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ABB59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9ABB59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5"/>
    <w:uiPriority w:val="99"/>
    <w:tblPr>
      <w:tblStyleRowBandSize w:val="1"/>
      <w:tblStyleColBandSize w:val="1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5"/>
    <w:uiPriority w:val="99"/>
    <w:tblPr>
      <w:tblStyleRowBandSize w:val="1"/>
      <w:tblStyleColBandSize w:val="1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single" w:sz="4" w:space="0" w:color="99D0DE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5"/>
    <w:uiPriority w:val="99"/>
    <w:tblPr>
      <w:tblStyleRowBandSize w:val="1"/>
      <w:tblStyleColBandSize w:val="1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single" w:sz="4" w:space="0" w:color="FAC396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customStyle="1" w:styleId="-110">
    <w:name w:val="Список-таблица 1 светлая1"/>
    <w:basedOn w:val="a5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5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1Light-Accent2">
    <w:name w:val="List Table 1 Light - Accent 2"/>
    <w:basedOn w:val="a5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1Light-Accent3">
    <w:name w:val="List Table 1 Light - Accent 3"/>
    <w:basedOn w:val="a5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1Light-Accent4">
    <w:name w:val="List Table 1 Light - Accent 4"/>
    <w:basedOn w:val="a5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1Light-Accent5">
    <w:name w:val="List Table 1 Light - Accent 5"/>
    <w:basedOn w:val="a5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1Light-Accent6">
    <w:name w:val="List Table 1 Light - Accent 6"/>
    <w:basedOn w:val="a5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-210">
    <w:name w:val="Список-таблица 21"/>
    <w:basedOn w:val="a5"/>
    <w:uiPriority w:val="99"/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5"/>
    <w:uiPriority w:val="99"/>
    <w:tblPr>
      <w:tblStyleRowBandSize w:val="1"/>
      <w:tblStyleColBandSize w:val="1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2-Accent2">
    <w:name w:val="List Table 2 - Accent 2"/>
    <w:basedOn w:val="a5"/>
    <w:uiPriority w:val="99"/>
    <w:tblPr>
      <w:tblStyleRowBandSize w:val="1"/>
      <w:tblStyleColBandSize w:val="1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2-Accent3">
    <w:name w:val="List Table 2 - Accent 3"/>
    <w:basedOn w:val="a5"/>
    <w:uiPriority w:val="99"/>
    <w:tblPr>
      <w:tblStyleRowBandSize w:val="1"/>
      <w:tblStyleColBandSize w:val="1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2-Accent4">
    <w:name w:val="List Table 2 - Accent 4"/>
    <w:basedOn w:val="a5"/>
    <w:uiPriority w:val="99"/>
    <w:tblPr>
      <w:tblStyleRowBandSize w:val="1"/>
      <w:tblStyleColBandSize w:val="1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2-Accent5">
    <w:name w:val="List Table 2 - Accent 5"/>
    <w:basedOn w:val="a5"/>
    <w:uiPriority w:val="99"/>
    <w:tblPr>
      <w:tblStyleRowBandSize w:val="1"/>
      <w:tblStyleColBandSize w:val="1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2-Accent6">
    <w:name w:val="List Table 2 - Accent 6"/>
    <w:basedOn w:val="a5"/>
    <w:uiPriority w:val="99"/>
    <w:tblPr>
      <w:tblStyleRowBandSize w:val="1"/>
      <w:tblStyleColBandSize w:val="1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-310">
    <w:name w:val="Список-таблица 31"/>
    <w:basedOn w:val="a5"/>
    <w:uiPriority w:val="99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5"/>
    <w:uiPriority w:val="99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5"/>
    <w:uiPriority w:val="99"/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a5"/>
    <w:uiPriority w:val="99"/>
    <w:tblPr>
      <w:tblStyleRowBandSize w:val="1"/>
      <w:tblStyleColBandSize w:val="1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a5"/>
    <w:uiPriority w:val="99"/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a5"/>
    <w:uiPriority w:val="99"/>
    <w:tblPr>
      <w:tblStyleRowBandSize w:val="1"/>
      <w:tblStyleColBandSize w:val="1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a5"/>
    <w:uiPriority w:val="99"/>
    <w:tblPr>
      <w:tblStyleRowBandSize w:val="1"/>
      <w:tblStyleColBandSize w:val="1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customStyle="1" w:styleId="-410">
    <w:name w:val="Список-таблица 41"/>
    <w:basedOn w:val="a5"/>
    <w:uiPriority w:val="99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5"/>
    <w:uiPriority w:val="99"/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4-Accent2">
    <w:name w:val="List Table 4 - Accent 2"/>
    <w:basedOn w:val="a5"/>
    <w:uiPriority w:val="99"/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4-Accent3">
    <w:name w:val="List Table 4 - Accent 3"/>
    <w:basedOn w:val="a5"/>
    <w:uiPriority w:val="99"/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4-Accent4">
    <w:name w:val="List Table 4 - Accent 4"/>
    <w:basedOn w:val="a5"/>
    <w:uiPriority w:val="99"/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4-Accent5">
    <w:name w:val="List Table 4 - Accent 5"/>
    <w:basedOn w:val="a5"/>
    <w:uiPriority w:val="99"/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4-Accent6">
    <w:name w:val="List Table 4 - Accent 6"/>
    <w:basedOn w:val="a5"/>
    <w:uiPriority w:val="99"/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-510">
    <w:name w:val="Список-таблица 5 темная1"/>
    <w:basedOn w:val="a5"/>
    <w:uiPriority w:val="99"/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5"/>
    <w:uiPriority w:val="99"/>
    <w:tblPr>
      <w:tblStyleRowBandSize w:val="1"/>
      <w:tblStyleColBandSize w:val="1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customStyle="1" w:styleId="ListTable5Dark-Accent2">
    <w:name w:val="List Table 5 Dark - Accent 2"/>
    <w:basedOn w:val="a5"/>
    <w:uiPriority w:val="99"/>
    <w:tblPr>
      <w:tblStyleRowBandSize w:val="1"/>
      <w:tblStyleColBandSize w:val="1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customStyle="1" w:styleId="ListTable5Dark-Accent3">
    <w:name w:val="List Table 5 Dark - Accent 3"/>
    <w:basedOn w:val="a5"/>
    <w:uiPriority w:val="99"/>
    <w:tblPr>
      <w:tblStyleRowBandSize w:val="1"/>
      <w:tblStyleColBandSize w:val="1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customStyle="1" w:styleId="ListTable5Dark-Accent4">
    <w:name w:val="List Table 5 Dark - Accent 4"/>
    <w:basedOn w:val="a5"/>
    <w:uiPriority w:val="99"/>
    <w:tblPr>
      <w:tblStyleRowBandSize w:val="1"/>
      <w:tblStyleColBandSize w:val="1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customStyle="1" w:styleId="ListTable5Dark-Accent5">
    <w:name w:val="List Table 5 Dark - Accent 5"/>
    <w:basedOn w:val="a5"/>
    <w:uiPriority w:val="99"/>
    <w:tblPr>
      <w:tblStyleRowBandSize w:val="1"/>
      <w:tblStyleColBandSize w:val="1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customStyle="1" w:styleId="ListTable5Dark-Accent6">
    <w:name w:val="List Table 5 Dark - Accent 6"/>
    <w:basedOn w:val="a5"/>
    <w:uiPriority w:val="99"/>
    <w:tblPr>
      <w:tblStyleRowBandSize w:val="1"/>
      <w:tblStyleColBandSize w:val="1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customStyle="1" w:styleId="-610">
    <w:name w:val="Список-таблица 6 цветная1"/>
    <w:basedOn w:val="a5"/>
    <w:uiPriority w:val="99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5"/>
    <w:uiPriority w:val="99"/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5"/>
    <w:uiPriority w:val="99"/>
    <w:tblPr>
      <w:tblStyleRowBandSize w:val="1"/>
      <w:tblStyleColBandSize w:val="1"/>
      <w:tblBorders>
        <w:top w:val="single" w:sz="4" w:space="0" w:color="D99695" w:themeColor="accent2" w:themeTint="97"/>
        <w:bottom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5"/>
    <w:uiPriority w:val="99"/>
    <w:tblPr>
      <w:tblStyleRowBandSize w:val="1"/>
      <w:tblStyleColBandSize w:val="1"/>
      <w:tblBorders>
        <w:top w:val="single" w:sz="4" w:space="0" w:color="C3D69B" w:themeColor="accent3" w:themeTint="98"/>
        <w:bottom w:val="single" w:sz="4" w:space="0" w:color="C3D69B" w:themeColor="accent3" w:themeTint="98"/>
      </w:tblBorders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5"/>
    <w:uiPriority w:val="99"/>
    <w:tblPr>
      <w:tblStyleRowBandSize w:val="1"/>
      <w:tblStyleColBandSize w:val="1"/>
      <w:tblBorders>
        <w:top w:val="single" w:sz="4" w:space="0" w:color="B2A1C6" w:themeColor="accent4" w:themeTint="9A"/>
        <w:bottom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5"/>
    <w:uiPriority w:val="99"/>
    <w:tblPr>
      <w:tblStyleRowBandSize w:val="1"/>
      <w:tblStyleColBandSize w:val="1"/>
      <w:tblBorders>
        <w:top w:val="single" w:sz="4" w:space="0" w:color="92CCDC" w:themeColor="accent5" w:themeTint="9A"/>
        <w:bottom w:val="single" w:sz="4" w:space="0" w:color="92CCDC" w:themeColor="accent5" w:themeTint="9A"/>
      </w:tblBorders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5"/>
    <w:uiPriority w:val="99"/>
    <w:tblPr>
      <w:tblStyleRowBandSize w:val="1"/>
      <w:tblStyleColBandSize w:val="1"/>
      <w:tblBorders>
        <w:top w:val="single" w:sz="4" w:space="0" w:color="FAC090" w:themeColor="accent6" w:themeTint="98"/>
        <w:bottom w:val="single" w:sz="4" w:space="0" w:color="FAC090" w:themeColor="accent6" w:themeTint="98"/>
      </w:tblBorders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-710">
    <w:name w:val="Список-таблица 7 цветная1"/>
    <w:basedOn w:val="a5"/>
    <w:uiPriority w:val="99"/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5"/>
    <w:uiPriority w:val="99"/>
    <w:tblPr>
      <w:tblStyleRowBandSize w:val="1"/>
      <w:tblStyleColBandSize w:val="1"/>
      <w:tblBorders>
        <w:right w:val="single" w:sz="4" w:space="0" w:color="4F81BD" w:themeColor="accent1"/>
      </w:tblBorders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single" w:sz="4" w:space="0" w:color="4F81BD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5"/>
    <w:uiPriority w:val="99"/>
    <w:tblPr>
      <w:tblStyleRowBandSize w:val="1"/>
      <w:tblStyleColBandSize w:val="1"/>
      <w:tblBorders>
        <w:right w:val="single" w:sz="4" w:space="0" w:color="D99695" w:themeColor="accent2" w:themeTint="97"/>
      </w:tblBorders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5"/>
    <w:uiPriority w:val="99"/>
    <w:tblPr>
      <w:tblStyleRowBandSize w:val="1"/>
      <w:tblStyleColBandSize w:val="1"/>
      <w:tblBorders>
        <w:right w:val="single" w:sz="4" w:space="0" w:color="C3D69B" w:themeColor="accent3" w:themeTint="98"/>
      </w:tblBorders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3D69B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3D69B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5"/>
    <w:uiPriority w:val="99"/>
    <w:tblPr>
      <w:tblStyleRowBandSize w:val="1"/>
      <w:tblStyleColBandSize w:val="1"/>
      <w:tblBorders>
        <w:right w:val="single" w:sz="4" w:space="0" w:color="B2A1C6" w:themeColor="accent4" w:themeTint="9A"/>
      </w:tblBorders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5"/>
    <w:uiPriority w:val="99"/>
    <w:tblPr>
      <w:tblStyleRowBandSize w:val="1"/>
      <w:tblStyleColBandSize w:val="1"/>
      <w:tblBorders>
        <w:right w:val="single" w:sz="4" w:space="0" w:color="92CCDC" w:themeColor="accent5" w:themeTint="9A"/>
      </w:tblBorders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2CCDC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2CCDC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5"/>
    <w:uiPriority w:val="99"/>
    <w:tblPr>
      <w:tblStyleRowBandSize w:val="1"/>
      <w:tblStyleColBandSize w:val="1"/>
      <w:tblBorders>
        <w:right w:val="single" w:sz="4" w:space="0" w:color="FAC090" w:themeColor="accent6" w:themeTint="98"/>
      </w:tblBorders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090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FAC090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5"/>
    <w:uiPriority w:val="99"/>
    <w:rPr>
      <w:color w:val="40404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5"/>
    <w:uiPriority w:val="99"/>
    <w:rPr>
      <w:color w:val="40404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basedOn w:val="a5"/>
    <w:uiPriority w:val="99"/>
    <w:rPr>
      <w:color w:val="40404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basedOn w:val="a5"/>
    <w:uiPriority w:val="99"/>
    <w:rPr>
      <w:color w:val="40404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basedOn w:val="a5"/>
    <w:uiPriority w:val="99"/>
    <w:rPr>
      <w:color w:val="40404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basedOn w:val="a5"/>
    <w:uiPriority w:val="99"/>
    <w:rPr>
      <w:color w:val="40404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basedOn w:val="a5"/>
    <w:uiPriority w:val="99"/>
    <w:rPr>
      <w:color w:val="40404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basedOn w:val="a5"/>
    <w:uiPriority w:val="99"/>
    <w:rPr>
      <w:color w:val="404040"/>
      <w:lang w:eastAsia="ru-RU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5"/>
    <w:uiPriority w:val="99"/>
    <w:rPr>
      <w:color w:val="404040"/>
      <w:lang w:eastAsia="ru-RU"/>
    </w:rPr>
    <w:tblPr>
      <w:tblStyleRowBandSize w:val="1"/>
      <w:tblStyleColBandSize w:val="1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basedOn w:val="a5"/>
    <w:uiPriority w:val="99"/>
    <w:rPr>
      <w:color w:val="404040"/>
      <w:lang w:eastAsia="ru-RU"/>
    </w:rPr>
    <w:tblPr>
      <w:tblStyleRowBandSize w:val="1"/>
      <w:tblStyleColBandSize w:val="1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basedOn w:val="a5"/>
    <w:uiPriority w:val="99"/>
    <w:rPr>
      <w:color w:val="404040"/>
      <w:lang w:eastAsia="ru-RU"/>
    </w:rPr>
    <w:tblPr>
      <w:tblStyleRowBandSize w:val="1"/>
      <w:tblStyleColBandSize w:val="1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basedOn w:val="a5"/>
    <w:uiPriority w:val="99"/>
    <w:rPr>
      <w:color w:val="404040"/>
      <w:lang w:eastAsia="ru-RU"/>
    </w:rPr>
    <w:tblPr>
      <w:tblStyleRowBandSize w:val="1"/>
      <w:tblStyleColBandSize w:val="1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basedOn w:val="a5"/>
    <w:uiPriority w:val="99"/>
    <w:rPr>
      <w:color w:val="404040"/>
      <w:lang w:eastAsia="ru-RU"/>
    </w:rPr>
    <w:tblPr>
      <w:tblStyleRowBandSize w:val="1"/>
      <w:tblStyleColBandSize w:val="1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basedOn w:val="a5"/>
    <w:uiPriority w:val="99"/>
    <w:rPr>
      <w:color w:val="404040"/>
      <w:lang w:eastAsia="ru-RU"/>
    </w:rPr>
    <w:tblPr>
      <w:tblStyleRowBandSize w:val="1"/>
      <w:tblStyleColBandSize w:val="1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basedOn w:val="a5"/>
    <w:uiPriority w:val="99"/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5"/>
    <w:uiPriority w:val="99"/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a5"/>
    <w:uiPriority w:val="99"/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a5"/>
    <w:uiPriority w:val="99"/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a5"/>
    <w:uiPriority w:val="99"/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a5"/>
    <w:uiPriority w:val="99"/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a5"/>
    <w:uiPriority w:val="99"/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paragraph" w:styleId="ac">
    <w:name w:val="footnote text"/>
    <w:basedOn w:val="a2"/>
    <w:link w:val="ad"/>
    <w:uiPriority w:val="99"/>
    <w:semiHidden/>
    <w:unhideWhenUsed/>
    <w:pPr>
      <w:spacing w:after="40"/>
    </w:pPr>
    <w:rPr>
      <w:sz w:val="18"/>
    </w:rPr>
  </w:style>
  <w:style w:type="character" w:customStyle="1" w:styleId="ad">
    <w:name w:val="Текст сноски Знак"/>
    <w:link w:val="ac"/>
    <w:uiPriority w:val="99"/>
    <w:rPr>
      <w:sz w:val="18"/>
    </w:rPr>
  </w:style>
  <w:style w:type="character" w:styleId="ae">
    <w:name w:val="footnote reference"/>
    <w:basedOn w:val="a4"/>
    <w:uiPriority w:val="99"/>
    <w:unhideWhenUsed/>
    <w:rPr>
      <w:vertAlign w:val="superscript"/>
    </w:rPr>
  </w:style>
  <w:style w:type="paragraph" w:styleId="af">
    <w:name w:val="endnote text"/>
    <w:basedOn w:val="a2"/>
    <w:link w:val="af0"/>
    <w:uiPriority w:val="99"/>
    <w:semiHidden/>
    <w:unhideWhenUsed/>
  </w:style>
  <w:style w:type="character" w:customStyle="1" w:styleId="af0">
    <w:name w:val="Текст концевой сноски Знак"/>
    <w:link w:val="af"/>
    <w:uiPriority w:val="99"/>
    <w:rPr>
      <w:sz w:val="20"/>
    </w:rPr>
  </w:style>
  <w:style w:type="character" w:styleId="af1">
    <w:name w:val="endnote reference"/>
    <w:basedOn w:val="a4"/>
    <w:uiPriority w:val="99"/>
    <w:semiHidden/>
    <w:unhideWhenUsed/>
    <w:rPr>
      <w:vertAlign w:val="superscript"/>
    </w:rPr>
  </w:style>
  <w:style w:type="paragraph" w:styleId="12">
    <w:name w:val="toc 1"/>
    <w:basedOn w:val="a2"/>
    <w:next w:val="a2"/>
    <w:uiPriority w:val="39"/>
    <w:unhideWhenUsed/>
    <w:pPr>
      <w:spacing w:after="57"/>
    </w:pPr>
  </w:style>
  <w:style w:type="paragraph" w:styleId="23">
    <w:name w:val="toc 2"/>
    <w:basedOn w:val="a2"/>
    <w:next w:val="a2"/>
    <w:uiPriority w:val="39"/>
    <w:unhideWhenUsed/>
    <w:pPr>
      <w:spacing w:after="57"/>
      <w:ind w:left="283"/>
    </w:pPr>
  </w:style>
  <w:style w:type="paragraph" w:styleId="32">
    <w:name w:val="toc 3"/>
    <w:basedOn w:val="a2"/>
    <w:next w:val="a2"/>
    <w:uiPriority w:val="39"/>
    <w:unhideWhenUsed/>
    <w:pPr>
      <w:spacing w:after="57"/>
      <w:ind w:left="567"/>
    </w:pPr>
  </w:style>
  <w:style w:type="paragraph" w:styleId="42">
    <w:name w:val="toc 4"/>
    <w:basedOn w:val="a2"/>
    <w:next w:val="a2"/>
    <w:uiPriority w:val="39"/>
    <w:unhideWhenUsed/>
    <w:pPr>
      <w:spacing w:after="57"/>
      <w:ind w:left="850"/>
    </w:pPr>
  </w:style>
  <w:style w:type="paragraph" w:styleId="52">
    <w:name w:val="toc 5"/>
    <w:basedOn w:val="a2"/>
    <w:next w:val="a2"/>
    <w:uiPriority w:val="39"/>
    <w:unhideWhenUsed/>
    <w:pPr>
      <w:spacing w:after="57"/>
      <w:ind w:left="1134"/>
    </w:pPr>
  </w:style>
  <w:style w:type="paragraph" w:styleId="61">
    <w:name w:val="toc 6"/>
    <w:basedOn w:val="a2"/>
    <w:next w:val="a2"/>
    <w:uiPriority w:val="39"/>
    <w:unhideWhenUsed/>
    <w:pPr>
      <w:spacing w:after="57"/>
      <w:ind w:left="1417"/>
    </w:pPr>
  </w:style>
  <w:style w:type="paragraph" w:styleId="71">
    <w:name w:val="toc 7"/>
    <w:basedOn w:val="a2"/>
    <w:next w:val="a2"/>
    <w:uiPriority w:val="39"/>
    <w:unhideWhenUsed/>
    <w:pPr>
      <w:spacing w:after="57"/>
      <w:ind w:left="1701"/>
    </w:pPr>
  </w:style>
  <w:style w:type="paragraph" w:styleId="81">
    <w:name w:val="toc 8"/>
    <w:basedOn w:val="a2"/>
    <w:next w:val="a2"/>
    <w:uiPriority w:val="39"/>
    <w:unhideWhenUsed/>
    <w:pPr>
      <w:spacing w:after="57"/>
      <w:ind w:left="1984"/>
    </w:pPr>
  </w:style>
  <w:style w:type="paragraph" w:styleId="91">
    <w:name w:val="toc 9"/>
    <w:basedOn w:val="a2"/>
    <w:next w:val="a2"/>
    <w:uiPriority w:val="39"/>
    <w:unhideWhenUsed/>
    <w:pPr>
      <w:spacing w:after="57"/>
      <w:ind w:left="2268"/>
    </w:pPr>
  </w:style>
  <w:style w:type="paragraph" w:styleId="af2">
    <w:name w:val="TOC Heading"/>
    <w:uiPriority w:val="39"/>
    <w:unhideWhenUsed/>
  </w:style>
  <w:style w:type="paragraph" w:styleId="af3">
    <w:name w:val="table of figures"/>
    <w:basedOn w:val="a2"/>
    <w:next w:val="a2"/>
    <w:uiPriority w:val="99"/>
    <w:unhideWhenUsed/>
  </w:style>
  <w:style w:type="character" w:styleId="af4">
    <w:name w:val="Hyperlink"/>
    <w:basedOn w:val="af5"/>
    <w:uiPriority w:val="99"/>
    <w:qFormat/>
    <w:rPr>
      <w:rFonts w:eastAsia="Times New Roman"/>
      <w:color w:val="4F81BD"/>
      <w:u w:val="single"/>
      <w:lang w:val="ru-RU" w:eastAsia="ru-RU"/>
    </w:rPr>
  </w:style>
  <w:style w:type="character" w:customStyle="1" w:styleId="10">
    <w:name w:val="Заголовок 1 Знак"/>
    <w:basedOn w:val="a4"/>
    <w:link w:val="1"/>
    <w:rPr>
      <w:rFonts w:eastAsia="Times New Roman" w:cs="Arial"/>
      <w:color w:val="1F497D"/>
      <w:sz w:val="36"/>
      <w:szCs w:val="32"/>
      <w:lang w:eastAsia="ru-RU"/>
    </w:rPr>
  </w:style>
  <w:style w:type="character" w:customStyle="1" w:styleId="20">
    <w:name w:val="Заголовок 2 Знак"/>
    <w:basedOn w:val="a4"/>
    <w:link w:val="2"/>
    <w:uiPriority w:val="9"/>
    <w:rPr>
      <w:rFonts w:eastAsia="Times New Roman"/>
      <w:color w:val="1F497D"/>
      <w:sz w:val="28"/>
      <w:lang w:eastAsia="ru-RU"/>
    </w:rPr>
  </w:style>
  <w:style w:type="character" w:customStyle="1" w:styleId="30">
    <w:name w:val="Заголовок 3 Знак"/>
    <w:basedOn w:val="a4"/>
    <w:link w:val="3"/>
    <w:rPr>
      <w:rFonts w:eastAsia="Times New Roman"/>
      <w:color w:val="1F497D"/>
      <w:sz w:val="24"/>
      <w:lang w:eastAsia="ru-RU"/>
    </w:rPr>
  </w:style>
  <w:style w:type="character" w:customStyle="1" w:styleId="40">
    <w:name w:val="Заголовок 4 Знак"/>
    <w:basedOn w:val="a4"/>
    <w:link w:val="4"/>
    <w:rPr>
      <w:rFonts w:eastAsia="Times New Roman"/>
      <w:i/>
      <w:color w:val="1F497D"/>
      <w:sz w:val="22"/>
      <w:lang w:eastAsia="ru-RU"/>
    </w:rPr>
  </w:style>
  <w:style w:type="character" w:customStyle="1" w:styleId="50">
    <w:name w:val="Заголовок 5 Знак"/>
    <w:basedOn w:val="a4"/>
    <w:link w:val="5"/>
    <w:rPr>
      <w:rFonts w:eastAsia="Times New Roman"/>
      <w:b/>
      <w:color w:val="1F497D"/>
      <w:lang w:eastAsia="ru-RU"/>
    </w:rPr>
  </w:style>
  <w:style w:type="character" w:customStyle="1" w:styleId="60">
    <w:name w:val="Заголовок 6 Знак"/>
    <w:basedOn w:val="a4"/>
    <w:link w:val="6"/>
    <w:rPr>
      <w:rFonts w:eastAsia="Times New Roman"/>
      <w:lang w:eastAsia="ru-RU"/>
    </w:rPr>
  </w:style>
  <w:style w:type="paragraph" w:customStyle="1" w:styleId="af6">
    <w:name w:val="Кнопка"/>
    <w:basedOn w:val="a3"/>
    <w:next w:val="a3"/>
    <w:link w:val="af7"/>
    <w:qFormat/>
    <w:pPr>
      <w:spacing w:before="0"/>
    </w:pPr>
    <w:rPr>
      <w:b/>
      <w:u w:val="single"/>
    </w:rPr>
  </w:style>
  <w:style w:type="paragraph" w:styleId="a3">
    <w:name w:val="Body Text"/>
    <w:basedOn w:val="a2"/>
    <w:link w:val="af5"/>
    <w:qFormat/>
    <w:rPr>
      <w:rFonts w:eastAsia="Times New Roman"/>
      <w:lang w:eastAsia="ru-RU"/>
    </w:rPr>
  </w:style>
  <w:style w:type="character" w:customStyle="1" w:styleId="af5">
    <w:name w:val="Основной текст Знак"/>
    <w:basedOn w:val="a4"/>
    <w:link w:val="a3"/>
    <w:rPr>
      <w:rFonts w:eastAsia="Times New Roman"/>
      <w:lang w:eastAsia="ru-RU"/>
    </w:rPr>
  </w:style>
  <w:style w:type="paragraph" w:customStyle="1" w:styleId="af8">
    <w:name w:val="Название справочника"/>
    <w:basedOn w:val="a3"/>
    <w:next w:val="a3"/>
    <w:link w:val="af9"/>
    <w:qFormat/>
    <w:pPr>
      <w:spacing w:before="0"/>
    </w:pPr>
    <w:rPr>
      <w:b/>
    </w:rPr>
  </w:style>
  <w:style w:type="paragraph" w:customStyle="1" w:styleId="afa">
    <w:name w:val="Название поля/пункт меню"/>
    <w:basedOn w:val="a3"/>
    <w:link w:val="afb"/>
    <w:qFormat/>
    <w:pPr>
      <w:spacing w:before="0"/>
    </w:pPr>
    <w:rPr>
      <w:i/>
    </w:rPr>
  </w:style>
  <w:style w:type="character" w:customStyle="1" w:styleId="afc">
    <w:name w:val="Определение"/>
    <w:basedOn w:val="af5"/>
    <w:qFormat/>
    <w:rPr>
      <w:rFonts w:eastAsia="Times New Roman"/>
      <w:i/>
      <w:color w:val="1F497D" w:themeColor="text2"/>
      <w:u w:val="none"/>
      <w:lang w:val="ru-RU" w:eastAsia="ru-RU"/>
    </w:rPr>
  </w:style>
  <w:style w:type="character" w:customStyle="1" w:styleId="afd">
    <w:name w:val="Участник процесса"/>
    <w:basedOn w:val="af5"/>
    <w:qFormat/>
    <w:rPr>
      <w:rFonts w:ascii="Arial" w:eastAsia="Times New Roman" w:hAnsi="Arial"/>
      <w:b/>
      <w:i/>
      <w:sz w:val="20"/>
      <w:lang w:val="ru-RU" w:eastAsia="ru-RU"/>
    </w:rPr>
  </w:style>
  <w:style w:type="character" w:customStyle="1" w:styleId="af7">
    <w:name w:val="Кнопка Знак"/>
    <w:basedOn w:val="af5"/>
    <w:link w:val="af6"/>
    <w:rPr>
      <w:rFonts w:eastAsia="Times New Roman"/>
      <w:b/>
      <w:u w:val="single"/>
      <w:lang w:eastAsia="ru-RU"/>
    </w:rPr>
  </w:style>
  <w:style w:type="character" w:customStyle="1" w:styleId="70">
    <w:name w:val="Заголовок 7 Знак"/>
    <w:basedOn w:val="a4"/>
    <w:link w:val="7"/>
    <w:uiPriority w:val="9"/>
    <w:semiHidden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4"/>
    <w:link w:val="8"/>
    <w:uiPriority w:val="9"/>
    <w:rPr>
      <w:rFonts w:eastAsiaTheme="majorEastAsia" w:cstheme="majorBidi"/>
      <w:color w:val="404040" w:themeColor="text1" w:themeTint="BF"/>
    </w:rPr>
  </w:style>
  <w:style w:type="character" w:customStyle="1" w:styleId="90">
    <w:name w:val="Заголовок 9 Знак"/>
    <w:basedOn w:val="a4"/>
    <w:link w:val="9"/>
    <w:uiPriority w:val="9"/>
    <w:rPr>
      <w:rFonts w:eastAsiaTheme="majorEastAsia" w:cstheme="majorBidi"/>
      <w:iCs/>
      <w:color w:val="404040" w:themeColor="text1" w:themeTint="BF"/>
    </w:rPr>
  </w:style>
  <w:style w:type="paragraph" w:styleId="a1">
    <w:name w:val="List Number"/>
    <w:basedOn w:val="afe"/>
    <w:uiPriority w:val="99"/>
    <w:unhideWhenUsed/>
    <w:pPr>
      <w:numPr>
        <w:numId w:val="1"/>
      </w:numPr>
      <w:spacing w:before="160"/>
    </w:pPr>
  </w:style>
  <w:style w:type="paragraph" w:styleId="a0">
    <w:name w:val="List Bullet"/>
    <w:basedOn w:val="afe"/>
    <w:qFormat/>
    <w:pPr>
      <w:numPr>
        <w:numId w:val="3"/>
      </w:numPr>
    </w:pPr>
  </w:style>
  <w:style w:type="paragraph" w:customStyle="1" w:styleId="aff">
    <w:name w:val="Пример кода"/>
    <w:basedOn w:val="a3"/>
    <w:qFormat/>
    <w:pPr>
      <w:shd w:val="clear" w:color="auto" w:fill="F2F2F2"/>
      <w:spacing w:before="0"/>
    </w:pPr>
    <w:rPr>
      <w:rFonts w:ascii="Consolas" w:hAnsi="Consolas"/>
    </w:rPr>
  </w:style>
  <w:style w:type="paragraph" w:customStyle="1" w:styleId="aff0">
    <w:name w:val="Примечание"/>
    <w:basedOn w:val="a3"/>
    <w:qFormat/>
    <w:pPr>
      <w:keepNext/>
      <w:keepLines/>
      <w:pBdr>
        <w:top w:val="single" w:sz="4" w:space="4" w:color="808080" w:themeColor="background1" w:themeShade="80"/>
        <w:left w:val="single" w:sz="4" w:space="4" w:color="808080" w:themeColor="background1" w:themeShade="80"/>
        <w:bottom w:val="single" w:sz="4" w:space="4" w:color="808080" w:themeColor="background1" w:themeShade="80"/>
        <w:right w:val="single" w:sz="4" w:space="4" w:color="808080" w:themeColor="background1" w:themeShade="80"/>
      </w:pBdr>
    </w:pPr>
  </w:style>
  <w:style w:type="paragraph" w:styleId="aff1">
    <w:name w:val="Title"/>
    <w:basedOn w:val="a3"/>
    <w:next w:val="a2"/>
    <w:link w:val="aff2"/>
    <w:uiPriority w:val="10"/>
    <w:qFormat/>
    <w:pPr>
      <w:pBdr>
        <w:bottom w:val="single" w:sz="18" w:space="1" w:color="1F497D"/>
      </w:pBdr>
      <w:spacing w:before="0" w:after="360"/>
      <w:jc w:val="left"/>
    </w:pPr>
    <w:rPr>
      <w:color w:val="1F497D"/>
      <w:sz w:val="40"/>
    </w:rPr>
  </w:style>
  <w:style w:type="character" w:customStyle="1" w:styleId="aff2">
    <w:name w:val="Заголовок Знак"/>
    <w:basedOn w:val="a4"/>
    <w:link w:val="aff1"/>
    <w:uiPriority w:val="10"/>
    <w:rPr>
      <w:rFonts w:eastAsia="Times New Roman"/>
      <w:color w:val="1F497D"/>
      <w:sz w:val="40"/>
      <w:lang w:eastAsia="ru-RU"/>
    </w:rPr>
  </w:style>
  <w:style w:type="table" w:styleId="aff3">
    <w:name w:val="Table Grid"/>
    <w:basedOn w:val="a5"/>
    <w:uiPriority w:val="59"/>
    <w:pPr>
      <w:spacing w:before="0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aff4">
    <w:name w:val="Таблица НПО"/>
    <w:basedOn w:val="a5"/>
    <w:uiPriority w:val="99"/>
    <w:qFormat/>
    <w:pPr>
      <w:spacing w:before="0"/>
      <w:jc w:val="left"/>
    </w:pPr>
    <w:rPr>
      <w:rFonts w:eastAsia="Calibri"/>
      <w:lang w:eastAsia="ru-RU"/>
    </w:rPr>
    <w:tblPr>
      <w:tblStyleRowBandSize w:val="1"/>
      <w:tblInd w:w="113" w:type="dxa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  <w:insideH w:val="single" w:sz="4" w:space="0" w:color="808080"/>
        <w:insideV w:val="single" w:sz="4" w:space="0" w:color="808080"/>
      </w:tblBorders>
    </w:tblPr>
    <w:tcPr>
      <w:tcMar>
        <w:top w:w="40" w:type="dxa"/>
        <w:bottom w:w="45" w:type="dxa"/>
      </w:tcMar>
      <w:vAlign w:val="center"/>
    </w:tcPr>
    <w:tblStylePr w:type="firstRow">
      <w:pPr>
        <w:spacing w:before="0" w:beforeAutospacing="0" w:after="0" w:afterAutospacing="0" w:line="240" w:lineRule="auto"/>
        <w:ind w:left="0" w:firstLine="0"/>
        <w:contextualSpacing w:val="0"/>
        <w:jc w:val="center"/>
      </w:pPr>
      <w:rPr>
        <w:rFonts w:ascii="Arial" w:hAnsi="Arial"/>
        <w:sz w:val="20"/>
      </w:rPr>
      <w:tblPr/>
      <w:trPr>
        <w:tblHeader/>
      </w:trPr>
      <w:tcPr>
        <w:shd w:val="clear" w:color="auto" w:fill="D9D9D9"/>
        <w:tcMar>
          <w:top w:w="113" w:type="dxa"/>
          <w:left w:w="0" w:type="nil"/>
          <w:bottom w:w="113" w:type="dxa"/>
          <w:right w:w="0" w:type="nil"/>
        </w:tcMar>
      </w:tcPr>
    </w:tblStylePr>
    <w:tblStylePr w:type="band1Horz">
      <w:pPr>
        <w:spacing w:beforeAutospacing="0" w:afterAutospacing="0"/>
      </w:pPr>
    </w:tblStylePr>
    <w:tblStylePr w:type="band2Horz">
      <w:pPr>
        <w:spacing w:beforeAutospacing="0" w:afterAutospacing="0"/>
      </w:pPr>
      <w:tblPr/>
      <w:tcPr>
        <w:shd w:val="clear" w:color="auto" w:fill="F2F2F2"/>
      </w:tcPr>
    </w:tblStylePr>
  </w:style>
  <w:style w:type="paragraph" w:styleId="afe">
    <w:name w:val="List Paragraph"/>
    <w:basedOn w:val="a2"/>
    <w:uiPriority w:val="34"/>
    <w:qFormat/>
    <w:pPr>
      <w:spacing w:before="60"/>
      <w:ind w:left="709" w:hanging="284"/>
    </w:pPr>
  </w:style>
  <w:style w:type="paragraph" w:styleId="aff5">
    <w:name w:val="caption"/>
    <w:basedOn w:val="a2"/>
    <w:next w:val="a2"/>
    <w:uiPriority w:val="35"/>
    <w:unhideWhenUsed/>
    <w:qFormat/>
    <w:pPr>
      <w:spacing w:before="120" w:after="120"/>
      <w:jc w:val="right"/>
    </w:pPr>
    <w:rPr>
      <w:bCs/>
      <w:sz w:val="18"/>
      <w:szCs w:val="18"/>
    </w:rPr>
  </w:style>
  <w:style w:type="numbering" w:customStyle="1" w:styleId="a">
    <w:name w:val="Список эталон"/>
    <w:uiPriority w:val="99"/>
    <w:pPr>
      <w:numPr>
        <w:numId w:val="2"/>
      </w:numPr>
    </w:pPr>
  </w:style>
  <w:style w:type="paragraph" w:styleId="aff6">
    <w:name w:val="header"/>
    <w:basedOn w:val="a2"/>
    <w:link w:val="aff7"/>
    <w:uiPriority w:val="99"/>
    <w:unhideWhenUsed/>
    <w:pPr>
      <w:tabs>
        <w:tab w:val="center" w:pos="4677"/>
        <w:tab w:val="right" w:pos="9355"/>
      </w:tabs>
      <w:spacing w:before="0"/>
      <w:jc w:val="left"/>
    </w:pPr>
    <w:rPr>
      <w:rFonts w:eastAsia="Calibri"/>
      <w:color w:val="404040"/>
      <w:sz w:val="18"/>
    </w:rPr>
  </w:style>
  <w:style w:type="character" w:customStyle="1" w:styleId="aff7">
    <w:name w:val="Верхний колонтитул Знак"/>
    <w:link w:val="aff6"/>
    <w:uiPriority w:val="99"/>
    <w:rPr>
      <w:rFonts w:eastAsia="Calibri"/>
      <w:color w:val="404040"/>
      <w:sz w:val="18"/>
    </w:rPr>
  </w:style>
  <w:style w:type="paragraph" w:styleId="aff8">
    <w:name w:val="footer"/>
    <w:basedOn w:val="a2"/>
    <w:link w:val="aff9"/>
    <w:uiPriority w:val="99"/>
    <w:unhideWhenUsed/>
    <w:pPr>
      <w:tabs>
        <w:tab w:val="center" w:pos="4677"/>
        <w:tab w:val="right" w:pos="9355"/>
      </w:tabs>
      <w:spacing w:before="0"/>
      <w:jc w:val="left"/>
    </w:pPr>
    <w:rPr>
      <w:rFonts w:eastAsia="Calibri"/>
      <w:color w:val="404040"/>
      <w:sz w:val="18"/>
    </w:rPr>
  </w:style>
  <w:style w:type="character" w:customStyle="1" w:styleId="aff9">
    <w:name w:val="Нижний колонтитул Знак"/>
    <w:link w:val="aff8"/>
    <w:uiPriority w:val="99"/>
    <w:rPr>
      <w:rFonts w:eastAsia="Calibri"/>
      <w:color w:val="404040"/>
      <w:sz w:val="18"/>
    </w:rPr>
  </w:style>
  <w:style w:type="paragraph" w:styleId="affa">
    <w:name w:val="Balloon Text"/>
    <w:basedOn w:val="a2"/>
    <w:link w:val="affb"/>
    <w:uiPriority w:val="99"/>
    <w:semiHidden/>
    <w:unhideWhenUsed/>
    <w:pPr>
      <w:spacing w:before="0"/>
    </w:pPr>
    <w:rPr>
      <w:rFonts w:ascii="Tahoma" w:hAnsi="Tahoma" w:cs="Tahoma"/>
      <w:sz w:val="16"/>
      <w:szCs w:val="16"/>
    </w:rPr>
  </w:style>
  <w:style w:type="character" w:customStyle="1" w:styleId="affb">
    <w:name w:val="Текст выноски Знак"/>
    <w:basedOn w:val="a4"/>
    <w:link w:val="affa"/>
    <w:uiPriority w:val="99"/>
    <w:semiHidden/>
    <w:rPr>
      <w:rFonts w:ascii="Tahoma" w:hAnsi="Tahoma" w:cs="Tahoma"/>
      <w:sz w:val="16"/>
      <w:szCs w:val="16"/>
    </w:rPr>
  </w:style>
  <w:style w:type="character" w:customStyle="1" w:styleId="af9">
    <w:name w:val="Название справочника Знак"/>
    <w:basedOn w:val="af5"/>
    <w:link w:val="af8"/>
    <w:rPr>
      <w:rFonts w:eastAsia="Times New Roman"/>
      <w:b/>
      <w:lang w:eastAsia="ru-RU"/>
    </w:rPr>
  </w:style>
  <w:style w:type="character" w:customStyle="1" w:styleId="affc">
    <w:name w:val="Пояснение к заполнению"/>
    <w:basedOn w:val="a4"/>
    <w:uiPriority w:val="1"/>
    <w:qFormat/>
    <w:rPr>
      <w:rFonts w:ascii="Arial" w:hAnsi="Arial"/>
      <w:i/>
      <w:color w:val="C0504D" w:themeColor="accent2"/>
      <w:sz w:val="20"/>
    </w:rPr>
  </w:style>
  <w:style w:type="character" w:customStyle="1" w:styleId="afb">
    <w:name w:val="Название поля/пункт меню Знак"/>
    <w:basedOn w:val="af5"/>
    <w:link w:val="afa"/>
    <w:rPr>
      <w:rFonts w:eastAsia="Times New Roman"/>
      <w:i/>
      <w:lang w:eastAsia="ru-RU"/>
    </w:rPr>
  </w:style>
  <w:style w:type="paragraph" w:styleId="affd">
    <w:name w:val="annotation text"/>
    <w:basedOn w:val="a2"/>
    <w:link w:val="affe"/>
    <w:pPr>
      <w:spacing w:before="0"/>
    </w:pPr>
    <w:rPr>
      <w:rFonts w:eastAsia="Times New Roman"/>
      <w:lang w:eastAsia="ru-RU"/>
    </w:rPr>
  </w:style>
  <w:style w:type="character" w:customStyle="1" w:styleId="affe">
    <w:name w:val="Текст примечания Знак"/>
    <w:basedOn w:val="a4"/>
    <w:link w:val="affd"/>
    <w:rPr>
      <w:rFonts w:eastAsia="Times New Roman"/>
      <w:lang w:eastAsia="ru-RU"/>
    </w:rPr>
  </w:style>
  <w:style w:type="paragraph" w:customStyle="1" w:styleId="afff">
    <w:name w:val="Текст таблицы"/>
    <w:basedOn w:val="a3"/>
    <w:qFormat/>
    <w:pPr>
      <w:spacing w:before="0"/>
      <w:jc w:val="left"/>
    </w:pPr>
  </w:style>
  <w:style w:type="paragraph" w:styleId="afff0">
    <w:name w:val="Normal (Web)"/>
    <w:basedOn w:val="a2"/>
    <w:uiPriority w:val="99"/>
    <w:semiHidden/>
    <w:unhideWhenUsed/>
    <w:pPr>
      <w:spacing w:before="100" w:beforeAutospacing="1" w:after="100" w:afterAutospacing="1"/>
      <w:jc w:val="lef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hmcommontext">
    <w:name w:val="hmcommontext"/>
    <w:basedOn w:val="a2"/>
    <w:pPr>
      <w:spacing w:before="100" w:beforeAutospacing="1" w:after="100" w:afterAutospacing="1"/>
      <w:jc w:val="left"/>
    </w:pPr>
    <w:rPr>
      <w:rFonts w:ascii="Times New Roman" w:eastAsia="Times New Roman" w:hAnsi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w:settings xmlns:w="http://schemas.openxmlformats.org/wordprocessingml/2006/main">
  <w:SpecialFormsHighlight w:val="c9c8ff"/>
</w:setting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D0AEA6B-E499-4EEF-98A3-AFBB261C493E}">
  <ds:schemaRefs>
    <ds:schemaRef ds:uri="http://schemas.openxmlformats.org/wordprocessingml/2006/main"/>
  </ds:schemaRefs>
</ds:datastoreItem>
</file>

<file path=customXml/itemProps2.xml><?xml version="1.0" encoding="utf-8"?>
<ds:datastoreItem xmlns:ds="http://schemas.openxmlformats.org/officeDocument/2006/customXml" ds:itemID="{3F2DADD1-E1E6-4E83-BE31-A1A18B249D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1172</TotalTime>
  <Pages>7</Pages>
  <Words>1978</Words>
  <Characters>11279</Characters>
  <Application>Microsoft Office Word</Application>
  <DocSecurity>0</DocSecurity>
  <Lines>93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Питомцева Елена (Pitomtseva_EV)</dc:creator>
  <cp:keywords/>
  <dc:description/>
  <cp:lastModifiedBy>Dinara Sabirova</cp:lastModifiedBy>
  <cp:revision>29</cp:revision>
  <dcterms:created xsi:type="dcterms:W3CDTF">2024-02-08T05:52:00Z</dcterms:created>
  <dcterms:modified xsi:type="dcterms:W3CDTF">2025-03-25T09:41:00Z</dcterms:modified>
</cp:coreProperties>
</file>